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6C" w:rsidRPr="00BF1FA9" w:rsidRDefault="00537B6C" w:rsidP="00BF1FA9">
      <w:pPr>
        <w:shd w:val="clear" w:color="auto" w:fill="FFFFFF"/>
        <w:spacing w:before="100" w:beforeAutospacing="1" w:after="100" w:afterAutospacing="1" w:line="240" w:lineRule="auto"/>
        <w:ind w:left="2880" w:firstLine="720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l-GR"/>
        </w:rPr>
        <w:t>ΕΝΟΤΗΤΑ 6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ΕΠΙΘΕΤΑ ΤΗΣ Γ΄ ΚΛΙΣΗΣ</w:t>
      </w: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br/>
        <w:t>Η ΚΛΙΣΗ ΤΗΣ ΜΕΤΟΧΗΣ ΤΟΥ ΠΑΘΗΤΙΚΟΥ ΑΟΡΙΣΤΟΥ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 ΥΠΕΝΘΥΜΙΣΗ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Στο παρακάτω κείμενο να βρείτε, με βάση όσα γνωρίζετε, τα 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κλίσης: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Oἱ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μὲν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οὖν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νέοι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ἅπαντες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ἤθη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εἰσὶν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ἐλεήμονες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κακοήθεις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ἀλλ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εὐήθεις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μήπω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τεθεωρηκέναι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πολλὰς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πονηρίας.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δὲ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φιλοτιμίαν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οὐκ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ἀνέχονται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ὀλιγωρούμενοι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ἀλλ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ἀγανακτοῦσι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θρασεῖς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γίγνονται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ἂν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οἴωνται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ἀδικεῖσθαι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Ἔτι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δὲ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εὐμετάβολοι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ἁψίκοροι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πρὸς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τὰς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ἐπιθυμίας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εἰσί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σφόδρα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μὲν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ἐπιθυμοῦσι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ταχέως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δὲ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παύονται·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ὀξεῖαι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γὰρ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βουλήσεις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μεγάλαι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ὥσπερ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καμνόντων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δίψαι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πεῖναι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Ἀριστοτέλους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Ῥητορική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, 1389α, 1-17, διασκευή)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4994"/>
      </w:tblGrid>
      <w:tr w:rsidR="00537B6C" w:rsidRPr="00BF1FA9" w:rsidTr="00537B6C">
        <w:trPr>
          <w:tblCellSpacing w:w="0" w:type="dxa"/>
        </w:trPr>
        <w:tc>
          <w:tcPr>
            <w:tcW w:w="393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εὐήθεις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εὐήθης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5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απονήρευτοι, με καλό χαρακτήρα</w:t>
            </w:r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ὀλιγωρούμενοι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ὀλιγωροῦμαι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55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να περιφρονούνται</w:t>
            </w:r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ἁψίκοροι</w:t>
            </w:r>
            <w:proofErr w:type="spellEnd"/>
          </w:p>
        </w:tc>
        <w:tc>
          <w:tcPr>
            <w:tcW w:w="5355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ευκολοχόρταστοι</w:t>
            </w:r>
            <w:proofErr w:type="spellEnd"/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καμνόντων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(κάμνω)</w:t>
            </w:r>
          </w:p>
        </w:tc>
        <w:tc>
          <w:tcPr>
            <w:tcW w:w="5355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αυτών που κοπιάζουν, που κουράζονται</w:t>
            </w:r>
          </w:p>
        </w:tc>
      </w:tr>
    </w:tbl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78187E42" wp14:editId="5EB0AD67">
            <wp:extent cx="5753100" cy="4305300"/>
            <wp:effectExtent l="0" t="0" r="0" b="0"/>
            <wp:docPr id="1" name="Εικόνα 1" descr="Επίθετα γ΄ κλί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Επίθετα γ΄ κλίση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>* Έχουν διδαχθεί μέχρι τώρα τα φωνηεντόληκτα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εια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-υ,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τα αφωνόληκτα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-ας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ασα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-αν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και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-ων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ουσα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-ον,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τα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ενρινόληκτα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-ων -ον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και τα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σιγμόληκτα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-ης -ες.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Β. ΥΛΙΚΟ ΓΙΑ ΕΠΕΞΕΡΓΑΣΙΑ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Να μελετήσετε τα επόμενα παραδείγματα και να βρείτε σε ποιες από τις παραπάνω κατηγορίες ανήκουν τα υπογραμμισμένα επίθετα:</w:t>
      </w:r>
    </w:p>
    <w:p w:rsidR="00537B6C" w:rsidRPr="00BF1FA9" w:rsidRDefault="00537B6C" w:rsidP="0053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τῇ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Ἰνδῶν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χώρᾳ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ἄμπελοι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εὐβότρυες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(=με καλά σταφύλια)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φοίνικες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γιγάντειοι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ἐφύοντο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Σπερχειὸς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ποταμὸς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πάλαι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δίπηχυς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βάθος.</w:t>
      </w:r>
    </w:p>
    <w:p w:rsidR="00537B6C" w:rsidRPr="00BF1FA9" w:rsidRDefault="00537B6C" w:rsidP="0053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τῆς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χαριέσσης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ἥβης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της χαριτωμένης εφηβείας)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ἡμέραι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βραχεῖαί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εἰσιν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Μαραθῶνι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Ἀθηναῖοι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εὐέλπιδες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ἦσαν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είχαν καλές ελπίδες)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ἐναντίων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κρατήσειν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ότι θα νικήσουν τους εχθρούς).</w:t>
      </w:r>
    </w:p>
    <w:p w:rsidR="00537B6C" w:rsidRPr="00BF1FA9" w:rsidRDefault="00537B6C" w:rsidP="00537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Λακεδαιμονίων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παῖδες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ζωμῷ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μέλανι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ἐτρέφοντο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ὃς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ἐκ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χοιρείου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κρέως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από χοιρινό κρέας)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αἵματος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παρεσκευάζετο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Στα παραπάνω παραδείγματα οι υπογραμμισμένοι τύποι είναι:</w:t>
      </w:r>
    </w:p>
    <w:p w:rsidR="00537B6C" w:rsidRPr="00BF1FA9" w:rsidRDefault="00537B6C" w:rsidP="00CD46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α)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φωνηεντόληκτα δικατάληκτα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που λήγουν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-υ (ὁ,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εὔβοτρυς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εὔβοτρυ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και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ὁ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,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δίπηχυς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δίπηχυ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  <w:t>β)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αφωνόληκτα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τρικατάληκτα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που λήγουν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-εις,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-εν (ὁ χαρίεις,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χαρίεσσα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χαρίεν)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br/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γ)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αφωνόληκτα δικατάληκτα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που λήγουν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-ι (ὁ,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εὔελπις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εὔελπι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).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Και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br/>
        <w:t>δ)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ενρινόληκτα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τρικατάληκτα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που λήγουν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-ας,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αινα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-αν (ὁ μέλας, ἡ μέλαινα,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μέλαν).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Τα επίθετα αυτά κλίνονται σύμφωνα με τους επόμενους πίνακες (βλ. και τις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παραγρ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 171, 173,175 (1,2) και 177(α) της Γ.Α.Ε.):</w:t>
      </w:r>
    </w:p>
    <w:p w:rsidR="00537B6C" w:rsidRPr="00BF1FA9" w:rsidRDefault="00537B6C" w:rsidP="00537B6C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α)</w:t>
      </w:r>
    </w:p>
    <w:tbl>
      <w:tblPr>
        <w:tblW w:w="107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03"/>
        <w:gridCol w:w="120"/>
        <w:gridCol w:w="15"/>
        <w:gridCol w:w="435"/>
        <w:gridCol w:w="15"/>
        <w:gridCol w:w="460"/>
        <w:gridCol w:w="89"/>
        <w:gridCol w:w="1107"/>
        <w:gridCol w:w="15"/>
        <w:gridCol w:w="450"/>
        <w:gridCol w:w="1121"/>
        <w:gridCol w:w="342"/>
        <w:gridCol w:w="120"/>
        <w:gridCol w:w="403"/>
        <w:gridCol w:w="15"/>
        <w:gridCol w:w="270"/>
        <w:gridCol w:w="179"/>
        <w:gridCol w:w="388"/>
        <w:gridCol w:w="90"/>
        <w:gridCol w:w="120"/>
        <w:gridCol w:w="718"/>
        <w:gridCol w:w="403"/>
        <w:gridCol w:w="268"/>
        <w:gridCol w:w="404"/>
        <w:gridCol w:w="718"/>
        <w:gridCol w:w="981"/>
      </w:tblGrid>
      <w:tr w:rsidR="00537B6C" w:rsidRPr="00BF1FA9" w:rsidTr="00537B6C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(θ.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εὐβοτρυ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-)</w:t>
            </w:r>
          </w:p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(θ.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διπηχυ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-,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διπηχε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-)</w:t>
            </w:r>
          </w:p>
        </w:tc>
        <w:tc>
          <w:tcPr>
            <w:tcW w:w="99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0" w:type="auto"/>
            <w:gridSpan w:val="27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ΕΝΙΚΟΣ ΑΡΙΘΜΟΣ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ὁ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ἡ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-ς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-ϊ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-ν</w:t>
            </w:r>
          </w:p>
        </w:tc>
        <w:tc>
          <w:tcPr>
            <w:tcW w:w="45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-ϊ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ὁ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ἡ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-ς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δίπηχυν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</w:t>
            </w:r>
            <w:proofErr w:type="spellEnd"/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</w:p>
        </w:tc>
        <w:tc>
          <w:tcPr>
            <w:tcW w:w="45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εὔβοτρυ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δίπηχυ</w:t>
            </w:r>
            <w:proofErr w:type="spellEnd"/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0" w:type="auto"/>
            <w:gridSpan w:val="27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0" w:type="auto"/>
            <w:gridSpan w:val="27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ΠΛΗΘΥΝΤΙΚΟΣ ΑΡΙΘΜΟΣ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-ες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εὐβοτρύ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εὐβότρυς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εὐβοτρύ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διπήχεις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διπηχέ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διπήχεις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και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διπηχέ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-α(-η)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-ες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εύβότρυ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διπήχεις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διπήχε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-α(-η)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lastRenderedPageBreak/>
        <w:t> </w:t>
      </w:r>
    </w:p>
    <w:p w:rsidR="00537B6C" w:rsidRPr="00BF1FA9" w:rsidRDefault="00537B6C" w:rsidP="00537B6C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β)</w:t>
      </w:r>
    </w:p>
    <w:tbl>
      <w:tblPr>
        <w:tblW w:w="102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10"/>
        <w:gridCol w:w="1425"/>
        <w:gridCol w:w="1410"/>
        <w:gridCol w:w="1695"/>
        <w:gridCol w:w="1695"/>
        <w:gridCol w:w="1425"/>
      </w:tblGrid>
      <w:tr w:rsidR="00537B6C" w:rsidRPr="00BF1FA9" w:rsidTr="00537B6C">
        <w:trPr>
          <w:tblCellSpacing w:w="0" w:type="dxa"/>
          <w:jc w:val="center"/>
        </w:trPr>
        <w:tc>
          <w:tcPr>
            <w:tcW w:w="10200" w:type="dxa"/>
            <w:gridSpan w:val="7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(θ.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χαριεντ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-,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χαριετ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-)</w:t>
            </w:r>
          </w:p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5385" w:type="dxa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ΕΝΙΚΟΣ ΑΡΙΘΜΟΣ</w:t>
            </w:r>
          </w:p>
        </w:tc>
        <w:tc>
          <w:tcPr>
            <w:tcW w:w="4815" w:type="dxa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ΠΛΗΘΥΝΤΙΚΟΣ ΑΡΙΘΜΟΣ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141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χαρίεις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χαρίεν</w:t>
            </w:r>
          </w:p>
        </w:tc>
        <w:tc>
          <w:tcPr>
            <w:tcW w:w="14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χαρίεσσα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χαριέσσης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χαριέσσῃ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χαρίεσσαν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χαρίεσσα</w:t>
            </w:r>
            <w:proofErr w:type="spellEnd"/>
          </w:p>
        </w:tc>
        <w:tc>
          <w:tcPr>
            <w:tcW w:w="141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χαρίεν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-ες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χαριέντ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-ες</w:t>
            </w:r>
          </w:p>
        </w:tc>
        <w:tc>
          <w:tcPr>
            <w:tcW w:w="169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χαρίεσσαι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χαριεσσῶν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χαριέσσαις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χαριέσσας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χαρίεσσαι</w:t>
            </w:r>
            <w:proofErr w:type="spellEnd"/>
          </w:p>
        </w:tc>
        <w:tc>
          <w:tcPr>
            <w:tcW w:w="14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χαριέντ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χαρίεσι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χαρίεντ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-α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537B6C" w:rsidRPr="00BF1FA9" w:rsidRDefault="00537B6C" w:rsidP="00537B6C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γ)</w:t>
      </w:r>
    </w:p>
    <w:tbl>
      <w:tblPr>
        <w:tblW w:w="103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569"/>
        <w:gridCol w:w="569"/>
        <w:gridCol w:w="1274"/>
        <w:gridCol w:w="569"/>
        <w:gridCol w:w="1274"/>
        <w:gridCol w:w="704"/>
        <w:gridCol w:w="718"/>
        <w:gridCol w:w="1558"/>
        <w:gridCol w:w="703"/>
        <w:gridCol w:w="1349"/>
      </w:tblGrid>
      <w:tr w:rsidR="00537B6C" w:rsidRPr="00BF1FA9" w:rsidTr="00537B6C">
        <w:trPr>
          <w:tblCellSpacing w:w="0" w:type="dxa"/>
          <w:jc w:val="center"/>
        </w:trPr>
        <w:tc>
          <w:tcPr>
            <w:tcW w:w="10350" w:type="dxa"/>
            <w:gridSpan w:val="11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(θ.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εὐελπιδ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-)</w:t>
            </w:r>
          </w:p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5310" w:type="dxa"/>
            <w:gridSpan w:val="6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ΕΝΙΚΟΣ ΑΡΙΘΜΟΣ</w:t>
            </w:r>
          </w:p>
        </w:tc>
        <w:tc>
          <w:tcPr>
            <w:tcW w:w="5025" w:type="dxa"/>
            <w:gridSpan w:val="5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ΠΛΗΘΥΝΤΙΚΟΣ ΑΡΙΘΜΟΣ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06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</w:p>
        </w:tc>
        <w:tc>
          <w:tcPr>
            <w:tcW w:w="57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ὁ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ἡ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τῇ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τὴν</w:t>
            </w:r>
            <w:proofErr w:type="spellEnd"/>
          </w:p>
        </w:tc>
        <w:tc>
          <w:tcPr>
            <w:tcW w:w="127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εὔελπιν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</w:p>
        </w:tc>
        <w:tc>
          <w:tcPr>
            <w:tcW w:w="127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</w:p>
        </w:tc>
        <w:tc>
          <w:tcPr>
            <w:tcW w:w="156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εὐέλπιδες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εὐελπίδων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εὐέλπισι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εὐέλπιδας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τὰ</w:t>
            </w:r>
            <w:proofErr w:type="spellEnd"/>
          </w:p>
        </w:tc>
        <w:tc>
          <w:tcPr>
            <w:tcW w:w="135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εὐελπίδων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εὐέλπισι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εὐέλπιδα</w:t>
            </w:r>
            <w:proofErr w:type="spellEnd"/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06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ΚΛΗΤ.</w:t>
            </w:r>
          </w:p>
        </w:tc>
        <w:tc>
          <w:tcPr>
            <w:tcW w:w="1140" w:type="dxa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127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εὔελπις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127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εὔελπι</w:t>
            </w:r>
            <w:proofErr w:type="spellEnd"/>
          </w:p>
        </w:tc>
        <w:tc>
          <w:tcPr>
            <w:tcW w:w="1425" w:type="dxa"/>
            <w:gridSpan w:val="2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156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εὐέλπιδες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(ὦ)</w:t>
            </w:r>
          </w:p>
        </w:tc>
        <w:tc>
          <w:tcPr>
            <w:tcW w:w="135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εὐέλπιδα</w:t>
            </w:r>
            <w:proofErr w:type="spellEnd"/>
          </w:p>
        </w:tc>
      </w:tr>
    </w:tbl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p w:rsidR="00537B6C" w:rsidRPr="00BF1FA9" w:rsidRDefault="00537B6C" w:rsidP="00537B6C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δ)</w:t>
      </w:r>
    </w:p>
    <w:tbl>
      <w:tblPr>
        <w:tblW w:w="102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10"/>
        <w:gridCol w:w="1425"/>
        <w:gridCol w:w="1410"/>
        <w:gridCol w:w="1695"/>
        <w:gridCol w:w="1695"/>
        <w:gridCol w:w="1425"/>
      </w:tblGrid>
      <w:tr w:rsidR="00537B6C" w:rsidRPr="00BF1FA9" w:rsidTr="00537B6C">
        <w:trPr>
          <w:tblCellSpacing w:w="0" w:type="dxa"/>
          <w:jc w:val="center"/>
        </w:trPr>
        <w:tc>
          <w:tcPr>
            <w:tcW w:w="10200" w:type="dxa"/>
            <w:gridSpan w:val="7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(θ.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μελαν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-)</w:t>
            </w:r>
          </w:p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5385" w:type="dxa"/>
            <w:gridSpan w:val="4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ΕΝΙΚΟΣ ΑΡΙΘΜΟΣ</w:t>
            </w:r>
          </w:p>
        </w:tc>
        <w:tc>
          <w:tcPr>
            <w:tcW w:w="4815" w:type="dxa"/>
            <w:gridSpan w:val="3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ΠΛΗΘΥΝΤΙΚΟΣ ΑΡΙΘΜΟΣ</w:t>
            </w:r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141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</w:t>
            </w:r>
          </w:p>
        </w:tc>
        <w:tc>
          <w:tcPr>
            <w:tcW w:w="14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μέλαινα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μελαίνης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μελαίνῃ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μέλαιναν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μέλαινα</w:t>
            </w:r>
          </w:p>
        </w:tc>
        <w:tc>
          <w:tcPr>
            <w:tcW w:w="141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μέλαν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μέλαν-ες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μελάν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μέλαν-ας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μέλαν-ες</w:t>
            </w:r>
          </w:p>
        </w:tc>
        <w:tc>
          <w:tcPr>
            <w:tcW w:w="169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μέλαιναι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μελαινῶν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μελαίναις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μελαίνας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μέλαιναι</w:t>
            </w:r>
            <w:proofErr w:type="spellEnd"/>
          </w:p>
        </w:tc>
        <w:tc>
          <w:tcPr>
            <w:tcW w:w="14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μέλαν-α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μελάν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-ων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-σι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  <w:t>μέλαν-α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μέλαν-α</w:t>
            </w:r>
            <w:proofErr w:type="spellEnd"/>
          </w:p>
        </w:tc>
      </w:tr>
      <w:tr w:rsidR="00537B6C" w:rsidRPr="00BF1FA9" w:rsidTr="00537B6C">
        <w:trPr>
          <w:tblCellSpacing w:w="0" w:type="dxa"/>
          <w:jc w:val="center"/>
        </w:trPr>
        <w:tc>
          <w:tcPr>
            <w:tcW w:w="114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537B6C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Pr="00BF1FA9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Γ. ΠΑΡΑΤΗΡΗΣΕΙΣ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Από τα παραπάνω επίθετα: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α) Όσα λήγουν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/-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και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/-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εος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είναι σύνθετα και κλίνονται όπως τα αντίστοιχα ουσιαστικά (δηλαδή,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εὔβοτρυς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όπως το ουσιαστικό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βότρυς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και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δίπηχυς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όπως το ουσιαστικό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πῆχυς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με τις εξής διαφορές:</w:t>
      </w:r>
    </w:p>
    <w:p w:rsidR="00537B6C" w:rsidRPr="00BF1FA9" w:rsidRDefault="00537B6C" w:rsidP="00537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 γενική του ενικού λήγει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–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(αντί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-ω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).</w:t>
      </w:r>
    </w:p>
    <w:p w:rsidR="00537B6C" w:rsidRPr="00BF1FA9" w:rsidRDefault="00537B6C" w:rsidP="00537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 ονομαστική (άρα και οι ίδιες μ’ αυτήν πτώσεις) του πληθυντικού των ουδετέρων παραμένει ασυναίρετη στα επίθετα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/-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(π.χ.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εὐβότρυα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), ενώ σπάνια συναιρείται στα επίθετα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υς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/-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(π.χ.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τὰ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διπήχεα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ή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διπήχη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).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β) Τα αφωνόληκτα τριγενή και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τρικατάληκτα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-εις,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-εν:</w:t>
      </w:r>
    </w:p>
    <w:p w:rsidR="00537B6C" w:rsidRPr="00BF1FA9" w:rsidRDefault="00537B6C" w:rsidP="0053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Αποβάλλουν 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-ντ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πριν από 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της κατάληξης. (Π.χ.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χαρίεντ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-ς &gt; ὁ χα-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ρίε</w:t>
      </w:r>
      <w:r w:rsidRPr="00BF1FA9">
        <w:rPr>
          <w:rFonts w:ascii="Arial" w:eastAsia="Times New Roman" w:hAnsi="Arial" w:cs="Arial"/>
          <w:b/>
          <w:i/>
          <w:iCs/>
          <w:strike/>
          <w:color w:val="000000"/>
          <w:sz w:val="24"/>
          <w:szCs w:val="24"/>
          <w:lang w:eastAsia="el-GR"/>
        </w:rPr>
        <w:t>ντ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 -ς &gt; ὁ χαρίεις).</w:t>
      </w:r>
    </w:p>
    <w:p w:rsidR="00537B6C" w:rsidRPr="00BF1FA9" w:rsidRDefault="00537B6C" w:rsidP="0053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Αποβάλλουν το τελικό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-τ,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όταν δεν υπάρχει κατάληξη (π.χ.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χαρίεν</w:t>
      </w:r>
      <w:r w:rsidRPr="00BF1FA9">
        <w:rPr>
          <w:rFonts w:ascii="Arial" w:eastAsia="Times New Roman" w:hAnsi="Arial" w:cs="Arial"/>
          <w:b/>
          <w:i/>
          <w:iCs/>
          <w:strike/>
          <w:color w:val="000000"/>
          <w:sz w:val="24"/>
          <w:szCs w:val="24"/>
          <w:lang w:eastAsia="el-GR"/>
        </w:rPr>
        <w:t>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 &gt;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χαρίεν).</w:t>
      </w:r>
    </w:p>
    <w:p w:rsidR="00537B6C" w:rsidRPr="00BF1FA9" w:rsidRDefault="00537B6C" w:rsidP="0053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 κλητική ενικού του αρσενικού γένους σχηματίζεται από το θέμα. Π.χ.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(ὦ χαρίεν (&lt; ὦ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χαρίεν</w:t>
      </w:r>
      <w:r w:rsidRPr="00BF1FA9">
        <w:rPr>
          <w:rFonts w:ascii="Arial" w:eastAsia="Times New Roman" w:hAnsi="Arial" w:cs="Arial"/>
          <w:b/>
          <w:i/>
          <w:iCs/>
          <w:strike/>
          <w:color w:val="000000"/>
          <w:sz w:val="24"/>
          <w:szCs w:val="24"/>
          <w:lang w:eastAsia="el-GR"/>
        </w:rPr>
        <w:t>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).</w:t>
      </w:r>
    </w:p>
    <w:p w:rsidR="00537B6C" w:rsidRPr="00BF1FA9" w:rsidRDefault="00537B6C" w:rsidP="0053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Σύμφωνα με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ὁ χαρίεις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κλίνεται μια σειρά επιθέτων που σημαίνουν πλησμονή όπως: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ἀστερόεις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-εν (= γεμάτος αστέρια),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ἰχθυόεις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-εν (=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γεμάτος ψάρια),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ἀνεμόεις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-εν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(= γεμάτος άνεμο ή γρήγορος όπως ο άνεμος),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ὑλήεις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εσσα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-εν (=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γεμάτος δάση) κ.ά.</w:t>
      </w:r>
    </w:p>
    <w:p w:rsidR="00537B6C" w:rsidRPr="00BF1FA9" w:rsidRDefault="00537B6C" w:rsidP="00537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Κατά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ὁ χαρίεις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κλίνεται επίσης και η μετοχή του παθητικού αορίστου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είς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εῖσα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, -εν,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π.χ. λυθείς,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λυθεῖσα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λυθέν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(θ.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λυθεντ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-).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(Για την κλίση της μετοχής αυτής βλ. και την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παραγρ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 187(2) της Γ.Α.Ε.).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γ) Τα αφωνόληκτα δικατάληκτα επίθετα της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κλίσης σε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/-ι (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π.χ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εὔελπις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εὔελπι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είναι σύνθετα με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συνθετικό αφωνόληκτο όνομα. Τα επίθετα αυτά κλίνονται συνήθως σύμφωνα με το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β΄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συνθετικό τους (π.χ. το επίθετο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εὔελπις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κλίνεται όπως περίπου και το όνομα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ἐλπίς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).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Στην κατηγορία αυτή ανήκουν επίθετα όπως: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ἄχαρις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ἄχαρι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(θ.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αχαριτ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-), 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ἐπίχαρις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ἐπίχαρι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ὁ, ἡ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φιλόπολις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φιλόπολι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(θ.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φιλοπολιδ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-), ὁ, ἡ φίλερις,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φίλερι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(= ο φιλόνικος, ο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καυγατζής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, θ.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φιλεριδ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-).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δ) Κατά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ὁ μέλας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κλίνεται επίσης και το επίθετο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ὁ τάλας, ἡ τάλαινα,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τάλαν (=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ο δυστυχής).</w:t>
      </w:r>
    </w:p>
    <w:p w:rsidR="00537B6C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D92B2B" w:rsidRPr="00BF1FA9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>Δ. ΑΣΚΗΣΕΙΣ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3AF91E5D" wp14:editId="020E9661">
            <wp:extent cx="142875" cy="142875"/>
            <wp:effectExtent l="0" t="0" r="9525" b="9525"/>
            <wp:docPr id="2" name="Εικόνα 2" descr="Άσκ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Άσκ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 Να συμπληρώσετε τον επόμενο πίνακα:</w:t>
      </w:r>
    </w:p>
    <w:tbl>
      <w:tblPr>
        <w:tblW w:w="0" w:type="auto"/>
        <w:jc w:val="center"/>
        <w:tblCellSpacing w:w="0" w:type="dxa"/>
        <w:tblInd w:w="-6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848"/>
        <w:gridCol w:w="2066"/>
        <w:gridCol w:w="2007"/>
      </w:tblGrid>
      <w:tr w:rsidR="00537B6C" w:rsidRPr="00BF1FA9" w:rsidTr="00034EB9">
        <w:trPr>
          <w:tblCellSpacing w:w="0" w:type="dxa"/>
          <w:jc w:val="center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ΠΤΩΣΕΙΣ</w:t>
            </w:r>
          </w:p>
        </w:tc>
        <w:tc>
          <w:tcPr>
            <w:tcW w:w="5921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ΕΝΙΚΟΣ ΑΡΙΘΜΟΣ</w:t>
            </w:r>
          </w:p>
        </w:tc>
      </w:tr>
      <w:tr w:rsidR="00537B6C" w:rsidRPr="00BF1FA9" w:rsidTr="00034EB9">
        <w:trPr>
          <w:tblCellSpacing w:w="0" w:type="dxa"/>
          <w:jc w:val="center"/>
        </w:trPr>
        <w:tc>
          <w:tcPr>
            <w:tcW w:w="197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    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1848" w:type="dxa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λυθεὶς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="00034EB9"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του</w:t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ὦ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λυθεὶς</w:t>
            </w:r>
            <w:proofErr w:type="spellEnd"/>
          </w:p>
        </w:tc>
        <w:tc>
          <w:tcPr>
            <w:tcW w:w="2066" w:type="dxa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λυθεῖσα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τῆς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λυθείσης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ὦ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λυθεῖσα</w:t>
            </w:r>
            <w:proofErr w:type="spellEnd"/>
          </w:p>
        </w:tc>
        <w:tc>
          <w:tcPr>
            <w:tcW w:w="2007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τὸ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λυθὲν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λυθέντος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ὦ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λυθὲν</w:t>
            </w:r>
            <w:proofErr w:type="spellEnd"/>
          </w:p>
        </w:tc>
      </w:tr>
      <w:tr w:rsidR="00537B6C" w:rsidRPr="00BF1FA9" w:rsidTr="00034EB9">
        <w:trPr>
          <w:tblCellSpacing w:w="0" w:type="dxa"/>
          <w:jc w:val="center"/>
        </w:trPr>
        <w:tc>
          <w:tcPr>
            <w:tcW w:w="197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921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37B6C" w:rsidRPr="00BF1FA9" w:rsidTr="00034EB9">
        <w:trPr>
          <w:tblCellSpacing w:w="0" w:type="dxa"/>
          <w:jc w:val="center"/>
        </w:trPr>
        <w:tc>
          <w:tcPr>
            <w:tcW w:w="1979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ΠΤΩΣΕΙΣ</w:t>
            </w:r>
          </w:p>
        </w:tc>
        <w:tc>
          <w:tcPr>
            <w:tcW w:w="5921" w:type="dxa"/>
            <w:gridSpan w:val="3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ΠΛΗΘΥΝΤΙΚΟΣ ΑΡΙΘΜΟΣ</w:t>
            </w:r>
          </w:p>
        </w:tc>
      </w:tr>
      <w:tr w:rsidR="00537B6C" w:rsidRPr="00BF1FA9" w:rsidTr="00034EB9">
        <w:trPr>
          <w:tblCellSpacing w:w="0" w:type="dxa"/>
          <w:jc w:val="center"/>
        </w:trPr>
        <w:tc>
          <w:tcPr>
            <w:tcW w:w="19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ΟΝΟΜ.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  <w:t>ΚΛΗΤ.     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λυθέντες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λυθεῖσι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λυθέντας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αἱ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λυθεῖσαι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ταῖς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λυθείσαις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</w:p>
        </w:tc>
        <w:tc>
          <w:tcPr>
            <w:tcW w:w="2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537B6C" w:rsidRPr="00BF1FA9" w:rsidRDefault="00537B6C" w:rsidP="00034E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λυθέντων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……………</w:t>
            </w: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br/>
            </w:r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 xml:space="preserve">ὦ </w:t>
            </w:r>
            <w:proofErr w:type="spellStart"/>
            <w:r w:rsidRPr="00BF1FA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l-GR"/>
              </w:rPr>
              <w:t>λυθέντα</w:t>
            </w:r>
            <w:proofErr w:type="spellEnd"/>
          </w:p>
        </w:tc>
      </w:tr>
    </w:tbl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04ABAA62" wp14:editId="48B42C59">
            <wp:extent cx="142875" cy="142875"/>
            <wp:effectExtent l="0" t="0" r="9525" b="9525"/>
            <wp:docPr id="3" name="Εικόνα 3" descr="Άσκ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Άσκ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 Να βάλετε στη σωστή πτώση τα ουσιαστικά που είναι σε παρένθεση: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Ἡ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Περσῶν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χώρα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πληθύει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είναι γεμάτη)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ποταμῶν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ἰχθυόεις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λιμνῶν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Ἐνταῦθα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ποταμοὶ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εἰσιν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μὲν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πλάτος ……………… 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τρίπηχυς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δὲ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βάθος ……………… 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δίπηχυς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).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τόποι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οἷς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ἱερὰ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ἵδρυτο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είχαν ανεγερθεί ναοί) ……………… 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ὑλήεις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ἀνεμόεις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ἦσαν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Ἡ Περσεφόνη,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λαμπρῶς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(μετοχή παθ.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αορ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του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ρήμ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παιδεύομαι -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ἐπαιδεύθην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τῆς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μητρὸς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Δήμητρος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καλλίστη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σωφρονεστάτη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παρθένων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ἐγένετο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Ἀθηναίοι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ἐφοβοῦντο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μὴ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(μετοχή παθ.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αορ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 του ρημ. </w:t>
      </w:r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πέμπομαι -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ἐπέμφθην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Κορινθίων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ῥήτορες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πείσωσι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πλῆθος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Ἀνὴρ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Πέρσης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Ἀθήνας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κατέφυγε ……………… (μετοχή παθ.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αορ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του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ρήμ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 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φοβοῦμαι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- 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ἐφοβήθην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)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μὴ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σατράπου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θανατωθῇ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Οἰδίποδος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θυγατέρες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μόνον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φιλάδελφοι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δεν έτρεφαν αγάπη μόνο για τα αδέρφια τους)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ἀλλὰ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</w:t>
      </w:r>
      <w:proofErr w:type="spellStart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φιλόπολις</w:t>
      </w:r>
      <w:proofErr w:type="spellEnd"/>
      <w:r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 xml:space="preserve"> =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 αυτός που αγαπά την πόλη, δηλαδή την πατρίδα του)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ἦσαν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Ἕλληνες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πάντες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ἀεὶ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 (φιλόπατρις)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            (χαρίεις)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ἦσαν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537B6C" w:rsidP="00537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Ταῖς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Ἐρινύσιν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στις Ερινύες)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Ἕλληνες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αἶγας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(= κατσίκες) ……………… (μέλας)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ἔθυον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Pr="00BF1FA9" w:rsidRDefault="00BF1FA9" w:rsidP="00C90D79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</w:t>
      </w:r>
      <w:proofErr w:type="spellStart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Οἱ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τύραννοι ……………… (τάλας) </w:t>
      </w:r>
      <w:proofErr w:type="spellStart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……………… </w:t>
      </w:r>
      <w:r w:rsidR="00537B6C"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(</w:t>
      </w:r>
      <w:proofErr w:type="spellStart"/>
      <w:r w:rsidR="00537B6C"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ἄπολις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= χωρίς πόλη, χωρίς πατρίδα, θ. </w:t>
      </w:r>
      <w:proofErr w:type="spellStart"/>
      <w:r w:rsidR="00537B6C"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απολιδ</w:t>
      </w:r>
      <w:proofErr w:type="spellEnd"/>
      <w:r w:rsidR="00537B6C" w:rsidRPr="00BF1FA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l-GR"/>
        </w:rPr>
        <w:t>-)</w:t>
      </w:r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ποιοῦσι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τοὺς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πολίτας</w:t>
      </w:r>
      <w:proofErr w:type="spellEnd"/>
      <w:r w:rsidR="00537B6C"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:rsidR="00537B6C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p w:rsidR="00D92B2B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:rsidR="00D92B2B" w:rsidRPr="00BF1FA9" w:rsidRDefault="00D92B2B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bookmarkStart w:id="0" w:name="_GoBack"/>
      <w:bookmarkEnd w:id="0"/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 wp14:anchorId="43162C63" wp14:editId="44B1A942">
            <wp:extent cx="142875" cy="142875"/>
            <wp:effectExtent l="0" t="0" r="9525" b="9525"/>
            <wp:docPr id="4" name="Εικόνα 4" descr="Άσκ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Άσκ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 Στο επόμενο κείμενο να αναγνωρίσετε τους υπογραμμισμένους τύπους και να γράψετε τη γενική και δοτική ενικού και πληθυντικού (σε όλα τα γένη):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Ἔπηλύς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ποτε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πένης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εἰς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Ἀθήνας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ἀφικνεῖται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δοῦλος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Διογένει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γίγνεται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Τοῦτον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ὁ Διογένης,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ἄχαριν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φίλεριν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εἶναι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τρὶς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τῆς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ἡμέρας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ἔδερε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Ὁ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δοῦλος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ἄπελπις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τοῦτο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ἦν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μετ’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ὀλίγον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l-GR"/>
        </w:rPr>
        <w:t>ὁ τάλας</w:t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ἀπέδρα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Διογένης δ’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ὅμως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ἄπολιν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φυγάδα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διώκει. «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Αἰσχρὸν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γάρ»,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ἔλεγεν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, «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μὲν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δοῦλον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ἄνευ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Διογένους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ὑπομένειν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διάγειν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Διογένη δ’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ἄνευ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δούλου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οὔ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».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603"/>
      </w:tblGrid>
      <w:tr w:rsidR="00537B6C" w:rsidRPr="00BF1FA9" w:rsidTr="00537B6C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Ἔπηλύς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ποτε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πένης</w:t>
            </w:r>
          </w:p>
        </w:tc>
        <w:tc>
          <w:tcPr>
            <w:tcW w:w="606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κάποτε ένας φτωχός αλλοδαπός</w:t>
            </w:r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ἀπέδρα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ἀποδιδράσκω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606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δραπέτευσε</w:t>
            </w:r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ὑπομένειν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διάγειν</w:t>
            </w:r>
            <w:proofErr w:type="spellEnd"/>
          </w:p>
        </w:tc>
        <w:tc>
          <w:tcPr>
            <w:tcW w:w="606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να μπορεί να ζει</w:t>
            </w:r>
          </w:p>
        </w:tc>
      </w:tr>
    </w:tbl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l-GR"/>
        </w:rPr>
        <w:drawing>
          <wp:inline distT="0" distB="0" distL="0" distR="0" wp14:anchorId="6EB713E7" wp14:editId="00837756">
            <wp:extent cx="142875" cy="142875"/>
            <wp:effectExtent l="0" t="0" r="9525" b="9525"/>
            <wp:docPr id="5" name="Εικόνα 5" descr="Άσκ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Άσκ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  Στο επόμενο κείμενο να βρείτε δυο τουλάχιστον τύπους της μετοχής παθητικού αορίστου. Αφού διαπιστώσετε σε ποιο ρήμα ανήκουν, να κλίνετε μια απ' αυτές σε όλα τα γένη και αριθμούς:</w:t>
      </w:r>
    </w:p>
    <w:p w:rsidR="00537B6C" w:rsidRPr="00BF1FA9" w:rsidRDefault="00537B6C" w:rsidP="00537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Ταῦρος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καταδιωχθεὶς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λέοντος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πορευθεὶς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πρός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τι σπήλαιον,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εὗρεν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αἶγας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ἀγρίας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.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Τυπτόμενος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δὲ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ὑπ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’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αὐτῶν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καὶ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κερατιζόμενος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ἔφη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· «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ὅμως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οὐχ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ὑμᾶς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φοβηθείς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ἀνέχομαι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,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ἀλλὰ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τὸν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πρὸ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τοῦ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σπηλαίου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ἐμφανισθέντα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λέοντα».</w:t>
      </w:r>
    </w:p>
    <w:p w:rsidR="00537B6C" w:rsidRPr="00BF1FA9" w:rsidRDefault="00537B6C" w:rsidP="00537B6C">
      <w:pPr>
        <w:shd w:val="clear" w:color="auto" w:fill="FFFFFF"/>
        <w:spacing w:before="100" w:beforeAutospacing="1" w:after="24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(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Αἰσώπου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Μῦθοι</w:t>
      </w:r>
      <w:proofErr w:type="spellEnd"/>
      <w:r w:rsidRPr="00BF1FA9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, διασκευή)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5518"/>
      </w:tblGrid>
      <w:tr w:rsidR="00537B6C" w:rsidRPr="00BF1FA9" w:rsidTr="00537B6C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τυπτόμενος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δὲ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ὑπ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'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αὐτῶν</w:t>
            </w:r>
            <w:proofErr w:type="spellEnd"/>
          </w:p>
        </w:tc>
        <w:tc>
          <w:tcPr>
            <w:tcW w:w="8670" w:type="dxa"/>
            <w:shd w:val="clear" w:color="auto" w:fill="FFFFFF"/>
            <w:hideMark/>
          </w:tcPr>
          <w:p w:rsidR="00537B6C" w:rsidRPr="00BF1FA9" w:rsidRDefault="00537B6C" w:rsidP="00537B6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καθώς αυτές τον χτυπούσαν</w:t>
            </w:r>
          </w:p>
        </w:tc>
      </w:tr>
      <w:tr w:rsidR="00537B6C" w:rsidRPr="00BF1FA9" w:rsidTr="00537B6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ὅμως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 xml:space="preserve">, ... </w:t>
            </w:r>
            <w:proofErr w:type="spellStart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ἀνέχομαι</w:t>
            </w:r>
            <w:proofErr w:type="spellEnd"/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8670" w:type="dxa"/>
            <w:shd w:val="clear" w:color="auto" w:fill="FFFFFF"/>
            <w:hideMark/>
          </w:tcPr>
          <w:p w:rsidR="00537B6C" w:rsidRPr="00BF1FA9" w:rsidRDefault="00537B6C" w:rsidP="00537B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BF1F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όμως, αυτά τα υπομένω όχι γιατί φοβούμαι εσάς</w:t>
            </w:r>
          </w:p>
        </w:tc>
      </w:tr>
    </w:tbl>
    <w:p w:rsidR="00A2511D" w:rsidRPr="00BF1FA9" w:rsidRDefault="00A2511D">
      <w:pPr>
        <w:rPr>
          <w:rFonts w:ascii="Arial" w:hAnsi="Arial" w:cs="Arial"/>
          <w:b/>
          <w:sz w:val="24"/>
          <w:szCs w:val="24"/>
        </w:rPr>
      </w:pPr>
    </w:p>
    <w:sectPr w:rsidR="00A2511D" w:rsidRPr="00BF1FA9" w:rsidSect="00D92B2B">
      <w:pgSz w:w="11906" w:h="16838"/>
      <w:pgMar w:top="851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4C9"/>
    <w:multiLevelType w:val="multilevel"/>
    <w:tmpl w:val="3452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5A24"/>
    <w:multiLevelType w:val="multilevel"/>
    <w:tmpl w:val="B954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93106"/>
    <w:multiLevelType w:val="multilevel"/>
    <w:tmpl w:val="E26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0CBE"/>
    <w:multiLevelType w:val="multilevel"/>
    <w:tmpl w:val="283C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6C"/>
    <w:rsid w:val="00034EB9"/>
    <w:rsid w:val="00537B6C"/>
    <w:rsid w:val="00A2511D"/>
    <w:rsid w:val="00AE78BA"/>
    <w:rsid w:val="00BF1FA9"/>
    <w:rsid w:val="00C90D79"/>
    <w:rsid w:val="00CD460D"/>
    <w:rsid w:val="00D92B2B"/>
    <w:rsid w:val="00D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2020-02-02T20:46:00Z</dcterms:created>
  <dcterms:modified xsi:type="dcterms:W3CDTF">2021-04-07T12:26:00Z</dcterms:modified>
</cp:coreProperties>
</file>