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A0B" w:rsidRPr="005B7A0B" w:rsidRDefault="005B7A0B" w:rsidP="005B7A0B">
      <w:pPr>
        <w:spacing w:after="0" w:line="240" w:lineRule="auto"/>
        <w:rPr>
          <w:rFonts w:ascii="Times New Roman" w:eastAsia="Times New Roman" w:hAnsi="Times New Roman" w:cs="Times New Roman"/>
          <w:lang w:eastAsia="el-GR"/>
        </w:rPr>
      </w:pPr>
      <w:bookmarkStart w:id="0" w:name="_GoBack"/>
      <w:bookmarkEnd w:id="0"/>
      <w:r w:rsidRPr="005B7A0B">
        <w:rPr>
          <w:rFonts w:ascii="Georgia" w:eastAsia="Times New Roman" w:hAnsi="Georgia" w:cs="Times New Roman"/>
          <w:b/>
          <w:bCs/>
          <w:color w:val="000000"/>
          <w:lang w:eastAsia="el-GR"/>
        </w:rPr>
        <w:t>Έκθεση Α΄ Λυκείου: Αναλφαβητισμός</w:t>
      </w:r>
      <w:r w:rsidRPr="005B7A0B">
        <w:rPr>
          <w:rFonts w:ascii="Georgia" w:eastAsia="Times New Roman" w:hAnsi="Georgia" w:cs="Times New Roman"/>
          <w:color w:val="000000"/>
          <w:lang w:eastAsia="el-GR"/>
        </w:rPr>
        <w:br/>
      </w: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Ως </w:t>
      </w:r>
      <w:r w:rsidRPr="005B7A0B">
        <w:rPr>
          <w:rFonts w:ascii="Georgia" w:eastAsia="Times New Roman" w:hAnsi="Georgia" w:cs="Times New Roman"/>
          <w:b/>
          <w:bCs/>
          <w:color w:val="000000"/>
          <w:lang w:eastAsia="el-GR"/>
        </w:rPr>
        <w:t>αναλφαβητισμός</w:t>
      </w:r>
      <w:r w:rsidRPr="005B7A0B">
        <w:rPr>
          <w:rFonts w:ascii="Georgia" w:eastAsia="Times New Roman" w:hAnsi="Georgia" w:cs="Times New Roman"/>
          <w:color w:val="000000"/>
          <w:lang w:eastAsia="el-GR"/>
        </w:rPr>
        <w:t> ορίζεται η άγνοια γραφής και ανάγνωσης. Η έννοια αυτή διαχωρίζεται, ωστόσο, σε δύο επιμέρους κατηγορίες. Έχουμε, έτσι:</w:t>
      </w: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b/>
          <w:bCs/>
          <w:color w:val="000000"/>
          <w:lang w:eastAsia="el-GR"/>
        </w:rPr>
        <w:t>α) Τον οργανικό αναλφαβητισμό</w:t>
      </w:r>
      <w:r w:rsidRPr="005B7A0B">
        <w:rPr>
          <w:rFonts w:ascii="Georgia" w:eastAsia="Times New Roman" w:hAnsi="Georgia" w:cs="Times New Roman"/>
          <w:color w:val="000000"/>
          <w:lang w:eastAsia="el-GR"/>
        </w:rPr>
        <w:t>, την πλήρη δηλαδή άγνοια γραφής και ανάγνωσης (ολικός αναλφαβητισμός) ή σε μερικότερο βαθμό την αδυναμία ανάγνωσης και κατανόησης απλού κειμένου, αν και κάποιος έχει διδαχθεί για μερικά χρόνια γραφή και ανάγνωση (μερικός αναλφαβητισμός ή ημιαναλφαβητισμός).</w:t>
      </w: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b/>
          <w:bCs/>
          <w:color w:val="000000"/>
          <w:lang w:eastAsia="el-GR"/>
        </w:rPr>
        <w:t>γ) Τον λειτουργικό αναλφαβητισμό</w:t>
      </w:r>
      <w:r w:rsidRPr="005B7A0B">
        <w:rPr>
          <w:rFonts w:ascii="Georgia" w:eastAsia="Times New Roman" w:hAnsi="Georgia" w:cs="Times New Roman"/>
          <w:color w:val="000000"/>
          <w:lang w:eastAsia="el-GR"/>
        </w:rPr>
        <w:t>, την αδυναμία, δηλαδή, κάποιου, ο οποίος έχει διδαχθεί και τυπικά γνωρίζει γραφή και ανάγνωση, να χρησιμοποιήσει τις γνώσεις του στην καθημερινή ζωή. Ειδικότερα, πρόκειται για την κατάσταση αυτού που δεν έχει ολοκληρώσει την υποχρεωτική εκπαίδευση.</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b/>
          <w:bCs/>
          <w:color w:val="000000"/>
          <w:u w:val="single"/>
          <w:lang w:eastAsia="el-GR"/>
        </w:rPr>
        <w:t>Η αξία της ανάγνωσης</w:t>
      </w: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Ο γραπτός λόγος υπάρχει παντού και συνεπώς η ανάγνωση είναι μια θεμελιώδης και διαρκώς αυξανόμενη αναγκαιότητα σε όλους σχεδόν τους τομείς της ζωής μας. Ένα ευρύ φάσμα δεξιοτήτων ανάγνωσης, είναι κεφαλαιώδους σημασίας για την προσωπική και κοινωνική ολοκλήρωση οποιουδήποτε ατόμου, για την ενεργό και μετά λόγου γνώσης συμμετοχή του στο κοινωνικό γίγνεσθαι και για την πλήρη άσκηση των δικαιωμάτων του ως πολίτη. Εκτός αυτού, οι δεξιότητες αυτές είναι σημαντικές και για την πρόσβαση και ανέλιξη του καθενός στην αγορά εργασίας. Όσοι διαθέτουν σε περιορισμένο βαθμό τις δεξιότητες ανάγνωσης έχουν περιορισμένες πιθανότητες προόδου στη σύγχρονη κοινωνία. Ουσιαστικά, η απόκτηση της ικανότητας καλής ανάγνωσης είναι βασική προϋπόθεση εκπλήρωσης των κοινωνικών και οικονομικών απαιτήσεων της κοινωνίας του 21</w:t>
      </w:r>
      <w:r w:rsidRPr="005B7A0B">
        <w:rPr>
          <w:rFonts w:ascii="Georgia" w:eastAsia="Times New Roman" w:hAnsi="Georgia" w:cs="Times New Roman"/>
          <w:color w:val="000000"/>
          <w:vertAlign w:val="superscript"/>
          <w:lang w:eastAsia="el-GR"/>
        </w:rPr>
        <w:t>ου</w:t>
      </w:r>
      <w:r w:rsidRPr="005B7A0B">
        <w:rPr>
          <w:rFonts w:ascii="Georgia" w:eastAsia="Times New Roman" w:hAnsi="Georgia" w:cs="Times New Roman"/>
          <w:color w:val="000000"/>
          <w:lang w:eastAsia="el-GR"/>
        </w:rPr>
        <w:t> αιώνα.</w:t>
      </w: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b/>
          <w:bCs/>
          <w:color w:val="000000"/>
          <w:lang w:eastAsia="el-GR"/>
        </w:rPr>
        <w:t>Οι επαρκείς ικανότητες ανάγνωσης είναι σημαντικά στοιχεία για κάθε νεαρό άτομο</w:t>
      </w:r>
      <w:r w:rsidRPr="005B7A0B">
        <w:rPr>
          <w:rFonts w:ascii="Georgia" w:eastAsia="Times New Roman" w:hAnsi="Georgia" w:cs="Times New Roman"/>
          <w:color w:val="000000"/>
          <w:lang w:eastAsia="el-GR"/>
        </w:rPr>
        <w:t> ώστε να είναι σε θέση να επιδιώξει τους προσωπικούς του στόχους όταν ξεκινήσει τη ζωή του ως ενήλικας. Η επιτυχής απόκτηση των δεξιοτήτων ανάγνωσης κατά την παιδική ηλικία και την εφηβεία είναι συνεπώς θεμελιώδους σημασίας. Εξάλλου, οι καλές δεξιότητες γραμματισμού αποτελούν τη βάση ολόκληρης της σχολικής σταδιοδρομίας ενός παιδιού: χωρίς αυτές η ακαδημαϊκή επιτυχία είναι ανέφικτη. Η καλή γνώση ανάγνωσης δεν συνιστά μόνο ένα από τους βασικούς στόχους της σχολικής εκπαίδευσης, αλλά είναι ένα από τα βασικά μέσα μάθησης. </w:t>
      </w:r>
      <w:r w:rsidRPr="005B7A0B">
        <w:rPr>
          <w:rFonts w:ascii="Georgia" w:eastAsia="Times New Roman" w:hAnsi="Georgia" w:cs="Times New Roman"/>
          <w:b/>
          <w:bCs/>
          <w:color w:val="000000"/>
          <w:lang w:eastAsia="el-GR"/>
        </w:rPr>
        <w:t>Η ικανότητα ανάγνωσης είναι συνεπώς ένα βασικό εργαλείο άσκησης του δικαιώματος στην εκπαίδευση</w:t>
      </w:r>
      <w:r w:rsidRPr="005B7A0B">
        <w:rPr>
          <w:rFonts w:ascii="Georgia" w:eastAsia="Times New Roman" w:hAnsi="Georgia" w:cs="Times New Roman"/>
          <w:color w:val="000000"/>
          <w:lang w:eastAsia="el-GR"/>
        </w:rPr>
        <w:t> το οποίο κατοχυρώνει και η Διακήρυξη του Δικαιωμάτων του Ανθρώπου (άρθρο 26).</w:t>
      </w: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Σύμφωνα με τα αποτελέσματα για τις Ευρωπαϊκές χώρες στα οποία κατέληξαν οι διεθνείς έρευνες αξιολόγησης μαθητών κατά την τελευταία δεκαετία, το Συμβούλιο έθεσε το στόχο της μείωσης του αριθμού των υστερούντων στην ανάγνωση σε ποσοστό κάτω από 15% μέχρι το 2020.</w:t>
      </w: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w:t>
      </w:r>
      <w:r w:rsidRPr="005B7A0B">
        <w:rPr>
          <w:rFonts w:ascii="Georgia" w:eastAsia="Times New Roman" w:hAnsi="Georgia" w:cs="Times New Roman"/>
          <w:b/>
          <w:bCs/>
          <w:color w:val="000000"/>
          <w:lang w:eastAsia="el-GR"/>
        </w:rPr>
        <w:t>Ο αναγνωστικός γραμματισμός ορίζεται ως η συνολική κλίση κατανόησης, χρήσης και κριτικής σκέψης πάνω σε γραπτές γλωσσικές μορφές</w:t>
      </w:r>
      <w:r w:rsidRPr="005B7A0B">
        <w:rPr>
          <w:rFonts w:ascii="Georgia" w:eastAsia="Times New Roman" w:hAnsi="Georgia" w:cs="Times New Roman"/>
          <w:color w:val="000000"/>
          <w:lang w:eastAsia="el-GR"/>
        </w:rPr>
        <w:t> με σκοπό την επίτευξη προσωπικής και κοινωνικής ολοκλήρωσης. Αυτό υπερβαίνει τις γνωστικές συνιστώσες της ανάγνωσης (δηλαδή την αποκωδικοποίηση λέξεων και την κατανόηση γραπτών κειμένων) και φθάνει σε άλλες πτυχές οι οποίες σχετίζονται με την ύπαρξη κινήτρων και την εμβάθυνση γραπτών θεματολογιών. Αυτό ευθυγραμμίζεται με τον ορισμό του Pierre (1992) ο οποίος περιγράφει τον γραμματισμό ως τη «σχέση την οποία αποκαθιστά ένα άτομο με τον γραπτό κόσμο». Ο όρος «αναγνωστικός γραμματισμός» ενσωματώνει μια διάκριση μεταξύ του «είμαι σε θέση να διαβάζω» και του «είμαι αναγνώστης».</w:t>
      </w: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Σε ένα σχολικό πλαίσιο, οι μαθητές που έχουν εμβαθύνει στον αναγνωστικό γραμματισμό έχουν μάθει να διαβάζουν και έχουν ευχέρεια στην «ανάγνωση για τη μάθηση». Από πλευράς διδασκόντων, η παροχή στους μαθητές της δυνατότητας ευχέρειας στον αναγνωστικό γραμματισμό συνεπάγεται την διαμόρφωση διαφόρων διαδικασιών και δραστηριοτήτων οι οποίες λαμβάνουν χώρα σε διάφορα επίπεδα εξέλιξης και εμπεριέχουν τη διδασκαλία του τρόπου με τον οποίο οι μαθητές μαθαίνουν να διαβάζουν και να αναπτύσσουν τις αναγνωστικές τους δεξιότητες.</w:t>
      </w: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w:t>
      </w:r>
      <w:r w:rsidRPr="005B7A0B">
        <w:rPr>
          <w:rFonts w:ascii="Georgia" w:eastAsia="Times New Roman" w:hAnsi="Georgia" w:cs="Times New Roman"/>
          <w:b/>
          <w:bCs/>
          <w:color w:val="000000"/>
          <w:lang w:eastAsia="el-GR"/>
        </w:rPr>
        <w:t>Το PISA ορίζει την ικανότητα ανάγνωσης των δεκαπεντάχρονων ως</w:t>
      </w:r>
      <w:r w:rsidRPr="005B7A0B">
        <w:rPr>
          <w:rFonts w:ascii="Georgia" w:eastAsia="Times New Roman" w:hAnsi="Georgia" w:cs="Times New Roman"/>
          <w:color w:val="000000"/>
          <w:lang w:eastAsia="el-GR"/>
        </w:rPr>
        <w:t>: «η κατανόηση, η χρήση και η κριτική σκέψη πάνω σε γραπτά κείμενα, για τους σκοπούς επίτευξης των ατομικών στόχων, για την ανάπτυξη της γνώσης και του προσωπικού δυναμικού και για τη συμμετοχή στο κοινωνικό γίγνεσθαι».</w:t>
      </w: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Στο βαθμό που οι μαθητές επιτελούν προόδους στο σχολείο έρχονται αντιμέτωποι με συνεχώς μεγαλύτερες απαιτήσεις αναγνωστικής κατανόησης σε σχέση με λογοτεχνικά και ενημερωτικά κείμενα διαφόρων θεματολογιών. Η εστίαση στην ανάγνωση μετακινείται από την ικανότητα αποκωδικοποίησης λέξεων προς την κατανόηση μηνυμάτων ή ολόκληρων κειμένων. Στο στάδιο αυτό, η αναγνωστική κατανόηση μπορεί να οριστεί ως «εκούσιοι συλλογισμοί κατά τη διάρκεια των οποίων οικοδομούνται έννοιες μέσω της διάδρασης μεταξύ αναγνώστη και κειμένου». </w:t>
      </w:r>
      <w:r w:rsidRPr="005B7A0B">
        <w:rPr>
          <w:rFonts w:ascii="Georgia" w:eastAsia="Times New Roman" w:hAnsi="Georgia" w:cs="Times New Roman"/>
          <w:b/>
          <w:bCs/>
          <w:color w:val="000000"/>
          <w:lang w:eastAsia="el-GR"/>
        </w:rPr>
        <w:t>Έτσι λοιπόν, η αναγνωστική κατανόηση προϋποθέτει αμφότερες τις γλωσσικές και γνωστικές διεργασίες</w:t>
      </w:r>
      <w:r w:rsidRPr="005B7A0B">
        <w:rPr>
          <w:rFonts w:ascii="Georgia" w:eastAsia="Times New Roman" w:hAnsi="Georgia" w:cs="Times New Roman"/>
          <w:color w:val="000000"/>
          <w:lang w:eastAsia="el-GR"/>
        </w:rPr>
        <w:t>, με διάδραση μεταξύ τους κατά τη διάρκεια της ανάγνωσης όταν ο αναγνώστης προσπαθεί να αποσπάσει και να δημιουργήσει νοήματα από ένα γραπτό κείμενο.</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b/>
          <w:bCs/>
          <w:color w:val="000000"/>
          <w:u w:val="single"/>
          <w:lang w:eastAsia="el-GR"/>
        </w:rPr>
        <w:t>Αιτίες αναλφαβητισμού</w:t>
      </w: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Οι περισσότεροι προβληματικοί αναγνώστες έχουν γονείς χαμηλότερης μόρφωσης και προέρχονται από κοινωνικά και οικονομικά μειονεκτικές οικογένειες από τις οποίες εκλείπουν μάλλον οι πόροι για την εκπαίδευση, συμπεριλαμβανομένων των βιβλίων. Στις περισσότερες χώρες, μάλιστα, το ιστορικό μετανάστη μπορεί να αποβαίνει επιζήμιο στα επιτεύγματα ικανότητας ανάγνωσης, και ιδίως για μαθητές οι οποίοι στο οικογενειακό περιβάλλον μιλούν μια γλώσσα που δεν είναι εκείνη της εκπαίδευσης.</w:t>
      </w: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Για πολλά παιδιά, άλλωστε, σε όλη την Ευρώπη η γλώσσα εκπαίδευσης δεν είναι η μητρική τους γλώσσα. Η καλή γνώση ωστόσο της γλώσσας εκπαίδευσης αποτελεί βασική προϋπόθεση σχολικής επιτυχίας. Πολλές μελέτες υποδεικνύουν ότι οι μετανάστες μαθητές τείνουν να έχουν μειωμένη απόδοση στην ανάγνωση από εκείνους της φιλοξενούσας χώρας. Ο τρόπος διδασκαλίας δεξιοτήτων ανάγνωσης σε παιδιά των οποίων η μητρική γλώσσα δεν είναι ίδια με τη γλώσσα εκπαίδευσης, αποτελεί συνεπώς βασικό σημείο προβληματισμού.</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w:t>
      </w:r>
      <w:r w:rsidRPr="005B7A0B">
        <w:rPr>
          <w:rFonts w:ascii="Georgia" w:eastAsia="Times New Roman" w:hAnsi="Georgia" w:cs="Times New Roman"/>
          <w:b/>
          <w:bCs/>
          <w:color w:val="000000"/>
          <w:lang w:eastAsia="el-GR"/>
        </w:rPr>
        <w:t>Το οικογενειακό περιβάλλον και η οικονομική κατάσταση</w:t>
      </w:r>
      <w:r w:rsidRPr="005B7A0B">
        <w:rPr>
          <w:rFonts w:ascii="Georgia" w:eastAsia="Times New Roman" w:hAnsi="Georgia" w:cs="Times New Roman"/>
          <w:color w:val="000000"/>
          <w:lang w:eastAsia="el-GR"/>
        </w:rPr>
        <w:t>. Σύνηθες αίτιο για την πρόωρη εγκατάλειψη του σχολείου συνιστά η έλλειψη οικονομικών πόρων της οικογένειας, που εξωθεί τον μαθητή να συνδράμει εργαζόμενος ή έστω μη επιβαρύνοντας με έξοδα και «περιττές» υποχρεώσεις τους γονείς.</w:t>
      </w: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Αν, μάλιστα, οι γονείς δεν έχουν οι ίδιοι υψηλό ή ικανοποιητικό επίπεδο μόρφωσης, αδυνατούν να εκτιμήσουν τα οφέλη της συστηματικής εκπαίδευσης του παιδιού τους, και άρα παίρνουν ευκολότερα την απόφαση να το απομακρύνουν από το σχολείο.</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w:t>
      </w:r>
      <w:r w:rsidRPr="005B7A0B">
        <w:rPr>
          <w:rFonts w:ascii="Georgia" w:eastAsia="Times New Roman" w:hAnsi="Georgia" w:cs="Times New Roman"/>
          <w:b/>
          <w:bCs/>
          <w:color w:val="000000"/>
          <w:lang w:eastAsia="el-GR"/>
        </w:rPr>
        <w:t>Αίτια που σχετίζονται με τους ίδιους τους μαθητές</w:t>
      </w:r>
      <w:r w:rsidRPr="005B7A0B">
        <w:rPr>
          <w:rFonts w:ascii="Georgia" w:eastAsia="Times New Roman" w:hAnsi="Georgia" w:cs="Times New Roman"/>
          <w:color w:val="000000"/>
          <w:lang w:eastAsia="el-GR"/>
        </w:rPr>
        <w:t>. Οι πλέον σημαντικοί και σχετικοί με τον μαθητή παράγοντες που επηρεάζουν τα επιτεύγματα στην ικανότητα ανάγνωσης είναι το φύλο και το οικογενειακό ιστορικό και περιβάλλον. Τα κορίτσια, κατά μέσο όρο, υπερτερούν των αγοριών στην ανάγνωση και το χάσμα μεταξύ των φύλων αυξάνεται με την πάροδο των ετών. Αποτελέσματα διεθνών μελετών υποδεικνύουν ωστόσο ότι η ενασχόληση με την ανάγνωση έχει τη δυνατότητα να εξισορροπήσει τις διαφορές στην ικανότητα ανάγνωσης μεταξύ αγοριών και κοριτσιών ή μεταξύ μαθητών από διαφορετικές κοινωνικές τάξεις.</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w:t>
      </w:r>
      <w:r w:rsidRPr="005B7A0B">
        <w:rPr>
          <w:rFonts w:ascii="Georgia" w:eastAsia="Times New Roman" w:hAnsi="Georgia" w:cs="Times New Roman"/>
          <w:b/>
          <w:bCs/>
          <w:color w:val="000000"/>
          <w:lang w:eastAsia="el-GR"/>
        </w:rPr>
        <w:t>Η ποιότητα της παρεχόμενης εκπαίδευσης από το σχολείο</w:t>
      </w:r>
      <w:r w:rsidRPr="005B7A0B">
        <w:rPr>
          <w:rFonts w:ascii="Georgia" w:eastAsia="Times New Roman" w:hAnsi="Georgia" w:cs="Times New Roman"/>
          <w:color w:val="000000"/>
          <w:lang w:eastAsia="el-GR"/>
        </w:rPr>
        <w:t>. Οι έρευνες καταλήγουν στο συμπέρασμα ότι, στις περισσότερες χώρες, το κοινωνικό υπόβαθρο ενός σχολείου (υπολογιζόμενο ως ποσοστό κοινωνικά μειονεκτούντων μαθητών ή ως μέση κοινωνική και οικονομική κατάσταση) είναι στενά συσχετισμένο με την επίδοση στην ανάγνωση. Η συνολική επιρροή του σχολικού κοινωνικού υποβάθρου είναι υψηλότερη από το άθροισμα του αντίστοιχου κοινωνικού υποβάθρου ενός εκάστου των μαθητών. Επιπλέον, η επιρροή της οικονομικής, κοινωνικής και πολιτιστικής κατάστασης του σχολείου στις μαθητικές επιδόσεις υπερβαίνει κατά πολύ τις επιρροές της κοινωνικής και οικονομικής κατάστασης ενός εκάστου των μαθητών. </w:t>
      </w:r>
      <w:r w:rsidRPr="005B7A0B">
        <w:rPr>
          <w:rFonts w:ascii="Georgia" w:eastAsia="Times New Roman" w:hAnsi="Georgia" w:cs="Times New Roman"/>
          <w:b/>
          <w:bCs/>
          <w:color w:val="000000"/>
          <w:lang w:eastAsia="el-GR"/>
        </w:rPr>
        <w:t>Το πλεονέκτημα της φοίτησης σε ένα σχολείο όπου πολλοί μαθητές προέρχονται από ευνοϊκό οικογενειακό περιβάλλον σχετίζεται με μια σειρά παραγόντων</w:t>
      </w:r>
      <w:r w:rsidRPr="005B7A0B">
        <w:rPr>
          <w:rFonts w:ascii="Georgia" w:eastAsia="Times New Roman" w:hAnsi="Georgia" w:cs="Times New Roman"/>
          <w:color w:val="000000"/>
          <w:lang w:eastAsia="el-GR"/>
        </w:rPr>
        <w:t>, συμπεριλαμβανομένης της ομαδικής επιρροής μεταξύ ίσων, του θετικού κλίματος για μάθηση, των προσμονών των δασκάλων και των διαφορών στους πόρους ή στην ποιότητα του σχολείου.</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w:t>
      </w:r>
      <w:r w:rsidRPr="005B7A0B">
        <w:rPr>
          <w:rFonts w:ascii="Georgia" w:eastAsia="Times New Roman" w:hAnsi="Georgia" w:cs="Times New Roman"/>
          <w:b/>
          <w:bCs/>
          <w:color w:val="000000"/>
          <w:lang w:eastAsia="el-GR"/>
        </w:rPr>
        <w:t>Εγγενείς αδυναμίες του εκπαιδευτικού συστήματος</w:t>
      </w:r>
      <w:r w:rsidRPr="005B7A0B">
        <w:rPr>
          <w:rFonts w:ascii="Georgia" w:eastAsia="Times New Roman" w:hAnsi="Georgia" w:cs="Times New Roman"/>
          <w:color w:val="000000"/>
          <w:lang w:eastAsia="el-GR"/>
        </w:rPr>
        <w:t>. Το γεγονός ότι για πολλά χρόνια το κράτος περιορίζει όλο και περισσότερο τα χρήματα που προορίζει για την εκπαίδευση, έχει ως αποτέλεσμα την απουσία ενός ουσιαστικού και μακροπρόθεσμου προγράμματος για την αντιμετώπιση του αναλφαβητισμού.</w:t>
      </w: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Ενώ, το γεγονός ότι το πρόγραμμα σπουδών είναι ενιαίο για όλα τα σχολεία της χώρας, δημιουργεί σε ορισμένες περιοχές ιδιαίτερα προβλήματα, καθώς οι εκεί μαθητές δεν διαθέτουν την οικονομική άνεση εξωτερικής βοήθειας, προκειμένου να αντεπεξέλθουν στις σχολικές απαιτήσεις. Προτιμούν, έτσι, να εγκαταλείψουν το σχολείο, παρά να βιώνουν συνεχώς την αίσθηση πως αδυνατούν να ανταποκριθούν σε σχολικές απαιτήσεις, που δεν μοιάζουν να έχουν ανταπόκριση στην καθημερινή τους ζωή και στο δικό τους κοινωνικό, οικονομικό και πνευματικό περιβάλλον.</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w:t>
      </w:r>
      <w:r w:rsidRPr="005B7A0B">
        <w:rPr>
          <w:rFonts w:ascii="Georgia" w:eastAsia="Times New Roman" w:hAnsi="Georgia" w:cs="Times New Roman"/>
          <w:b/>
          <w:bCs/>
          <w:color w:val="000000"/>
          <w:lang w:eastAsia="el-GR"/>
        </w:rPr>
        <w:t> Οι κοινωνικές ανισότητες και οι οικονομικές δυσχέρειες του κράτους</w:t>
      </w:r>
      <w:r w:rsidRPr="005B7A0B">
        <w:rPr>
          <w:rFonts w:ascii="Georgia" w:eastAsia="Times New Roman" w:hAnsi="Georgia" w:cs="Times New Roman"/>
          <w:color w:val="000000"/>
          <w:lang w:eastAsia="el-GR"/>
        </w:rPr>
        <w:t>. Είναι παρατηρημένο πως οι σημαντικότερες απώλειες σε ό,τι αφορά τη φοίτηση των μαθητών παρατηρούνται σε υποβαθμισμένες περιοχές, κυρίως της επαρχίας, και σχετίζονται με την οικονομική κατάσταση της οικογένειας, αλλά και την εθνικότητα. Κοινωνικά ευάλωτες ομάδες, επομένως, όπως είναι οι αθίγγανοι και οι μετανάστες, βιώνουν πιο έντονα το σημαντικό αυτό πρόβλημα.</w:t>
      </w: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Ενώ, επαρχιακές περιοχές, που θα μπορούσαν να επωφεληθούν από ενισχυτικά εκπαιδευτικά προγράμματα, αφήνονται χωρίς έμπρακτη στήριξη, λόγω έλλειψης διαθέσιμων κρατικών πόρων.  </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b/>
          <w:bCs/>
          <w:color w:val="000000"/>
          <w:u w:val="single"/>
          <w:lang w:eastAsia="el-GR"/>
        </w:rPr>
        <w:lastRenderedPageBreak/>
        <w:t>Συνέπειες του αναλφαβητισμού</w:t>
      </w: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Οι δεξιότητες αναγνωστικού γραμματισμού κατά τη σχολική φοίτηση προσφέρουν στους μαθητές τα θεμέλια πρώιμης και συνεχούς επιτυχίας στο σχολείο και τις βάσεις της μετέπειτα ένταξης και συμμετοχής τους στην κοινωνική, πολιτιστική και επαγγελματική ζωή. Πράγματι, η ανάπτυξη καλών δεξιοτήτων ανάγνωσης οδηγεί συνήθως σε υψηλότερα εκπαιδευτικά επιτεύγματα. Αντίθετα, η μη εκμάθηση ανάγνωσης, η μη απόκτηση της σχετικής ευχέρειας και καλής κατανόησης μπορεί να οδηγήσει σε προβλήματα όχι μόνο μάθησης αλλά και ανάπτυξης νέων δεξιοτήτων.</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w:t>
      </w:r>
      <w:r w:rsidRPr="005B7A0B">
        <w:rPr>
          <w:rFonts w:ascii="Georgia" w:eastAsia="Times New Roman" w:hAnsi="Georgia" w:cs="Times New Roman"/>
          <w:b/>
          <w:bCs/>
          <w:color w:val="000000"/>
          <w:lang w:eastAsia="el-GR"/>
        </w:rPr>
        <w:t>Το άτομο δυσκολεύεται να πραγματοποιήσει καθημερινές «απλές» δραστηριότητες</w:t>
      </w:r>
      <w:r w:rsidRPr="005B7A0B">
        <w:rPr>
          <w:rFonts w:ascii="Georgia" w:eastAsia="Times New Roman" w:hAnsi="Georgia" w:cs="Times New Roman"/>
          <w:color w:val="000000"/>
          <w:lang w:eastAsia="el-GR"/>
        </w:rPr>
        <w:t>, όπως είναι οι συναλλαγές με δημόσιες υπηρεσίες, οι μετακινήσεις και οι αγορές, και εξαναγκάζεται να εξαρτάται από άλλους ανθρώπους, με αποτέλεσμα συχνά να πέφτει θύμα εκμετάλλευσης και εξαπάτησης.</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Η έλλειψη επαγγελματικών προσόντων που προκύπτει από την αδυναμία ανάγνωσης, </w:t>
      </w:r>
      <w:r w:rsidRPr="005B7A0B">
        <w:rPr>
          <w:rFonts w:ascii="Georgia" w:eastAsia="Times New Roman" w:hAnsi="Georgia" w:cs="Times New Roman"/>
          <w:b/>
          <w:bCs/>
          <w:color w:val="000000"/>
          <w:lang w:eastAsia="el-GR"/>
        </w:rPr>
        <w:t>δυσχεραίνει σε πολύ μεγάλο βαθμό την επαγγελματική αποκατάσταση του ατόμου</w:t>
      </w:r>
      <w:r w:rsidRPr="005B7A0B">
        <w:rPr>
          <w:rFonts w:ascii="Georgia" w:eastAsia="Times New Roman" w:hAnsi="Georgia" w:cs="Times New Roman"/>
          <w:color w:val="000000"/>
          <w:lang w:eastAsia="el-GR"/>
        </w:rPr>
        <w:t>, ωθώντας το κυρίως σε χειρωνακτικές εργασίες χαμηλών απαιτήσεων, και άρα χαμηλών οικονομικών απολαβών. Περιέρχεται, έτσι, σε μια στάσιμη κατάσταση συνεχούς και εξουθενωτικής εργασίας, συχνά σε ανθυγιεινό περιβάλλον, χωρίς πραγματικές προοπτικές ανέλιξης, με την επίγνωση πως στερείται κοινωνικού κύρους.  </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Το άτομο μη έχοντας τη δυνατότητα πραγματικής πνευματικής εξέλιξης και εμβάθυνσης, </w:t>
      </w:r>
      <w:r w:rsidRPr="005B7A0B">
        <w:rPr>
          <w:rFonts w:ascii="Georgia" w:eastAsia="Times New Roman" w:hAnsi="Georgia" w:cs="Times New Roman"/>
          <w:b/>
          <w:bCs/>
          <w:color w:val="000000"/>
          <w:lang w:eastAsia="el-GR"/>
        </w:rPr>
        <w:t>έρχεται συχνά αντιμέτωπο με τον κοινωνικό αποκλεισμό -εκούσιο ή ακούσιο-</w:t>
      </w:r>
      <w:r w:rsidRPr="005B7A0B">
        <w:rPr>
          <w:rFonts w:ascii="Georgia" w:eastAsia="Times New Roman" w:hAnsi="Georgia" w:cs="Times New Roman"/>
          <w:color w:val="000000"/>
          <w:lang w:eastAsia="el-GR"/>
        </w:rPr>
        <w:t>, καθώς δυσκολεύεται να παρακολουθήσει και να συμμετάσχει στις συζητήσεις των άλλων ανθρώπων. Ενώ, παράλληλα, αδυνατεί να λάβει μέρος στα κοινωνικά και πολιτιστικά δρώμενα, και πολύ περισσότερο στα πολιτικά, αφού δεν είναι σε θέση αφενός να κατανοήσει πλήρως τις τελούμενες εξελίξεις και αφετέρου να λάβει πραγματικά ενεργό ρόλο στην πολιτική ζωή. Μια τέτοια πράξη θα προϋπέθετε τη συστηματική ενημέρωση και την ικανότητα κριτικής αντίληψης των γεγονότων, που δύσκολα μπορεί να επιτευχθεί, αν το άτομο δεν γνωρίζει ανάγνωση και δεν έχει ένα αρκετά υψηλό επίπεδο μόρφωσης.     </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Συνάμα, το αναλφάβητο άτομο </w:t>
      </w:r>
      <w:r w:rsidRPr="005B7A0B">
        <w:rPr>
          <w:rFonts w:ascii="Georgia" w:eastAsia="Times New Roman" w:hAnsi="Georgia" w:cs="Times New Roman"/>
          <w:b/>
          <w:bCs/>
          <w:color w:val="000000"/>
          <w:lang w:eastAsia="el-GR"/>
        </w:rPr>
        <w:t>δεν κατορθώνει να εξελίξει τα φυσικά χαρίσματα της προσωπικότητάς του</w:t>
      </w:r>
      <w:r w:rsidRPr="005B7A0B">
        <w:rPr>
          <w:rFonts w:ascii="Georgia" w:eastAsia="Times New Roman" w:hAnsi="Georgia" w:cs="Times New Roman"/>
          <w:color w:val="000000"/>
          <w:lang w:eastAsia="el-GR"/>
        </w:rPr>
        <w:t>, καθώς δεν έχει τη δυνατότητα να μεγιστοποιήσει τις φυσικές του προδιαθέσεις μέσω μιας συστηματικής και ουσιαστικής εκπαίδευσης. Ενώ, επιπλέον, </w:t>
      </w:r>
      <w:r w:rsidRPr="005B7A0B">
        <w:rPr>
          <w:rFonts w:ascii="Georgia" w:eastAsia="Times New Roman" w:hAnsi="Georgia" w:cs="Times New Roman"/>
          <w:b/>
          <w:bCs/>
          <w:color w:val="000000"/>
          <w:lang w:eastAsia="el-GR"/>
        </w:rPr>
        <w:t>χάνει την ευκαιρία να παρακολουθήσει τις τεχνολογικές και πνευματικές εξελίξεις της εποχής του</w:t>
      </w:r>
      <w:r w:rsidRPr="005B7A0B">
        <w:rPr>
          <w:rFonts w:ascii="Georgia" w:eastAsia="Times New Roman" w:hAnsi="Georgia" w:cs="Times New Roman"/>
          <w:color w:val="000000"/>
          <w:lang w:eastAsia="el-GR"/>
        </w:rPr>
        <w:t>, μένοντας εκ των πραγμάτων πίσω σε σχέση με τους συνομηλίκους του, που είχαν την ευκαιρία να ολοκληρώσουν την εκπαίδευσή τους.  </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Ο αναλφαβητισμός έχει αρνητική επίδραση και στο ευρύτερο κοινωνικό σύνολο, καθώς, ανάλογα με τον αριθμό των αναλφάβητων ατόμων, οι συνέπειες ενδέχεται να είναι ιδιαίτερα έντονες.</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w:t>
      </w:r>
      <w:r w:rsidRPr="005B7A0B">
        <w:rPr>
          <w:rFonts w:ascii="Georgia" w:eastAsia="Times New Roman" w:hAnsi="Georgia" w:cs="Times New Roman"/>
          <w:b/>
          <w:bCs/>
          <w:color w:val="000000"/>
          <w:lang w:eastAsia="el-GR"/>
        </w:rPr>
        <w:t>Υπονομεύεται η οικονομική ανάπτυξη</w:t>
      </w:r>
      <w:r w:rsidRPr="005B7A0B">
        <w:rPr>
          <w:rFonts w:ascii="Georgia" w:eastAsia="Times New Roman" w:hAnsi="Georgia" w:cs="Times New Roman"/>
          <w:color w:val="000000"/>
          <w:lang w:eastAsia="el-GR"/>
        </w:rPr>
        <w:t>, μιας και καθίσταται δύσκολος ο τεχνολογικός εκσυγχρονισμός στους πρωτογενείς τομείς παραγωγής. Ιδίως, μάλιστα, σε χώρες με γενικότερα χαμηλή ανάπτυξη, όπου τα αναλφάβητα άτομα είναι περισσότερα, κάθε προσπάθεια αξιοποίησης των νέων τεχνολογιών προς όφελος της οικονομικής δραστηριότητας, συναντά πολλαπλές δυσκολίες, αφού η όποια χρήση απαιτεί άτομα ικανά να ανταποκριθούν στις σχετικές οδηγίες.</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w:t>
      </w:r>
      <w:r w:rsidRPr="005B7A0B">
        <w:rPr>
          <w:rFonts w:ascii="Georgia" w:eastAsia="Times New Roman" w:hAnsi="Georgia" w:cs="Times New Roman"/>
          <w:b/>
          <w:bCs/>
          <w:color w:val="000000"/>
          <w:lang w:eastAsia="el-GR"/>
        </w:rPr>
        <w:t>Ενισχύονται φαινόμενα φανατισμού και βίας</w:t>
      </w:r>
      <w:r w:rsidRPr="005B7A0B">
        <w:rPr>
          <w:rFonts w:ascii="Georgia" w:eastAsia="Times New Roman" w:hAnsi="Georgia" w:cs="Times New Roman"/>
          <w:color w:val="000000"/>
          <w:lang w:eastAsia="el-GR"/>
        </w:rPr>
        <w:t>, μιας και τα αναλφάβητα άτομα παραμένουν δέσμια προκαταλήψεων, και μπορούν να χειραγωγηθούν εύκολα από επιτήδειους που επιχειρούν να προκαλέσουν αναταραχές ή γεγονότα περισπασμού της κοινής γνώμης.</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w:t>
      </w:r>
      <w:r w:rsidRPr="005B7A0B">
        <w:rPr>
          <w:rFonts w:ascii="Georgia" w:eastAsia="Times New Roman" w:hAnsi="Georgia" w:cs="Times New Roman"/>
          <w:b/>
          <w:bCs/>
          <w:color w:val="000000"/>
          <w:lang w:eastAsia="el-GR"/>
        </w:rPr>
        <w:t>Η δημοκρατία δεν λειτουργεί ορθά</w:t>
      </w:r>
      <w:r w:rsidRPr="005B7A0B">
        <w:rPr>
          <w:rFonts w:ascii="Georgia" w:eastAsia="Times New Roman" w:hAnsi="Georgia" w:cs="Times New Roman"/>
          <w:color w:val="000000"/>
          <w:lang w:eastAsia="el-GR"/>
        </w:rPr>
        <w:t>, καθώς βασική προϋπόθεση για την πραγμάτωση των δημοκρατικών θεσμών είναι η ύπαρξη πολιτών με κριτική ικανότητα και δυνατότητα διαμόρφωσης ανεπηρέαστης προσωπικής άποψης. Ενώ, τα αναλφάβητα άτομα, αδυνατούν τις περισσότερες φορές να δράσουν ως ενεργοί πολίτες, αφού σε μεγάλο βαθμό καθίστανται φερέφωνα δοτών απόψεων και θέσεων.  </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b/>
          <w:bCs/>
          <w:color w:val="000000"/>
          <w:u w:val="single"/>
          <w:lang w:eastAsia="el-GR"/>
        </w:rPr>
        <w:t>Τρόποι αντιμετώπισης του αναλφαβητισμού</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w:t>
      </w:r>
      <w:r w:rsidRPr="005B7A0B">
        <w:rPr>
          <w:rFonts w:ascii="Georgia" w:eastAsia="Times New Roman" w:hAnsi="Georgia" w:cs="Times New Roman"/>
          <w:b/>
          <w:bCs/>
          <w:color w:val="000000"/>
          <w:lang w:eastAsia="el-GR"/>
        </w:rPr>
        <w:t>Η αντιμετώπιση του αναλφαβητισμού απαιτεί σημαντική χρηματοδότηση της εκπαίδευσης</w:t>
      </w:r>
      <w:r w:rsidRPr="005B7A0B">
        <w:rPr>
          <w:rFonts w:ascii="Georgia" w:eastAsia="Times New Roman" w:hAnsi="Georgia" w:cs="Times New Roman"/>
          <w:color w:val="000000"/>
          <w:lang w:eastAsia="el-GR"/>
        </w:rPr>
        <w:t>, προκειμένου να υπάρξουν προγράμματα για την έγκαιρη αντιμετώπιση των μαθησιακών δυσκολιών, αλλά και προγράμματα επιμόρφωσης ενηλίκων. Όπως, επίσης, και ιδιαίτερη μέριμνα για τις οικονομικά υποβαθμισμένες περιοχές της επαρχίας και των αστικών κέντρων.</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lastRenderedPageBreak/>
        <w:t>- </w:t>
      </w:r>
      <w:r w:rsidRPr="005B7A0B">
        <w:rPr>
          <w:rFonts w:ascii="Georgia" w:eastAsia="Times New Roman" w:hAnsi="Georgia" w:cs="Times New Roman"/>
          <w:b/>
          <w:bCs/>
          <w:color w:val="000000"/>
          <w:lang w:eastAsia="el-GR"/>
        </w:rPr>
        <w:t>Απαιτείται, συνάμα, φροντίδα για την αποτροπή της παιδικής εργασίας</w:t>
      </w:r>
      <w:r w:rsidRPr="005B7A0B">
        <w:rPr>
          <w:rFonts w:ascii="Georgia" w:eastAsia="Times New Roman" w:hAnsi="Georgia" w:cs="Times New Roman"/>
          <w:color w:val="000000"/>
          <w:lang w:eastAsia="el-GR"/>
        </w:rPr>
        <w:t>, καθώς και για την τήρηση του σχετικού με την υποχρεωτική εκπαίδευση νόμου.</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Ουσιαστική αναμόρφωση του σχολείου, ώστε να μην είναι ένας χώρος διακρίσεων, όπου μόνο οι μαθητές που έχουν οικονομική άνεση μπορούν να διαπρέψουν. </w:t>
      </w:r>
      <w:r w:rsidRPr="005B7A0B">
        <w:rPr>
          <w:rFonts w:ascii="Georgia" w:eastAsia="Times New Roman" w:hAnsi="Georgia" w:cs="Times New Roman"/>
          <w:b/>
          <w:bCs/>
          <w:color w:val="000000"/>
          <w:lang w:eastAsia="el-GR"/>
        </w:rPr>
        <w:t>Το σχολείο θα πρέπει να παρέχει ισότιμες ευκαιρίες σε όλους τους μαθητές</w:t>
      </w:r>
      <w:r w:rsidRPr="005B7A0B">
        <w:rPr>
          <w:rFonts w:ascii="Georgia" w:eastAsia="Times New Roman" w:hAnsi="Georgia" w:cs="Times New Roman"/>
          <w:color w:val="000000"/>
          <w:lang w:eastAsia="el-GR"/>
        </w:rPr>
        <w:t>, καθώς και πρόσθετη στήριξη σ’ εκείνους που την έχουν ανάγκη (ψυχολόγοι, ειδικά καταρτισμένοι εκπαιδευτικοί για τις μαθησιακές δυσκολίες).</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w:t>
      </w:r>
      <w:r w:rsidRPr="005B7A0B">
        <w:rPr>
          <w:rFonts w:ascii="Georgia" w:eastAsia="Times New Roman" w:hAnsi="Georgia" w:cs="Times New Roman"/>
          <w:b/>
          <w:bCs/>
          <w:color w:val="000000"/>
          <w:lang w:eastAsia="el-GR"/>
        </w:rPr>
        <w:t>Η εντατική διδασκαλία σε ατομικό επίπεδο ή σε μικρές ομάδες, από ειδικούς σε θέματα ανάγνωσης</w:t>
      </w:r>
      <w:r w:rsidRPr="005B7A0B">
        <w:rPr>
          <w:rFonts w:ascii="Georgia" w:eastAsia="Times New Roman" w:hAnsi="Georgia" w:cs="Times New Roman"/>
          <w:color w:val="000000"/>
          <w:lang w:eastAsia="el-GR"/>
        </w:rPr>
        <w:t>, είναι απαραίτητες για την αντιμετώπιση των αναγνωστικών δυσχερειών. Επί του παρόντος, τέτοιου είδους ειδικευμένοι σε θέματα ανάγνωσης εκπαιδευτικοί που μπορούν να υποστηρίξουν τους συναδέλφους τους στις σχολικές αίθουσες υπάρχουν μόνο στην Ιρλανδία, στη Μάλτα, στο Ηνωμένο Βασίλειο και στις πέντε Σκανδιναβικές χώρες.</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w:t>
      </w:r>
      <w:r w:rsidRPr="005B7A0B">
        <w:rPr>
          <w:rFonts w:ascii="Georgia" w:eastAsia="Times New Roman" w:hAnsi="Georgia" w:cs="Times New Roman"/>
          <w:b/>
          <w:bCs/>
          <w:color w:val="000000"/>
          <w:lang w:eastAsia="el-GR"/>
        </w:rPr>
        <w:t>Η μείωση, ωστόσο, του αριθμού των μαθητών με χαμηλές αναγνωστικές επιδόσεις και η βελτίωση της αποδοτικότητας του εκπαιδευτικού συστήματος μιας χώρας δεν είναι εύκολες διαδικασίες</w:t>
      </w:r>
      <w:r w:rsidRPr="005B7A0B">
        <w:rPr>
          <w:rFonts w:ascii="Georgia" w:eastAsia="Times New Roman" w:hAnsi="Georgia" w:cs="Times New Roman"/>
          <w:color w:val="000000"/>
          <w:lang w:eastAsia="el-GR"/>
        </w:rPr>
        <w:t>. Παρά την εστίαση της πολιτικής στη μείωση του ποσοστού των μαθητών χαμηλών επιδόσεων, ο Ευρωπαϊκός μέσος όρος και η αναλογία των μαθητών οι οποίοι στερούνται των βασικών δεξιοτήτων ανάγνωσης δεν άλλαξε το 2009 σε σύγκριση με το 2000.</w:t>
      </w: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Σε επίπεδο, πάντως, ατόμων ο παράγων που περισσότερο υπόκειται σε αλλαγές είναι </w:t>
      </w:r>
      <w:r w:rsidRPr="005B7A0B">
        <w:rPr>
          <w:rFonts w:ascii="Georgia" w:eastAsia="Times New Roman" w:hAnsi="Georgia" w:cs="Times New Roman"/>
          <w:b/>
          <w:bCs/>
          <w:color w:val="000000"/>
          <w:lang w:eastAsia="el-GR"/>
        </w:rPr>
        <w:t>η προθυμία των μαθητών για ενασχόληση με την ανάγνωση</w:t>
      </w:r>
      <w:r w:rsidRPr="005B7A0B">
        <w:rPr>
          <w:rFonts w:ascii="Georgia" w:eastAsia="Times New Roman" w:hAnsi="Georgia" w:cs="Times New Roman"/>
          <w:color w:val="000000"/>
          <w:lang w:eastAsia="el-GR"/>
        </w:rPr>
        <w:t>. Οι συσχετισμοί μεταξύ ενασχόλησης με την ανάγνωση και επίτευξης υψηλών επιδόσεων στην ικανότητα ανάγνωσης είναι κυκλικοί: διαβάζοντας περισσότερο, οι μαθητές γίνονται καλύτεροι αναγνώστες, και όντας καλύτεροι αναγνώστες τείνουν να διαβάζουν ακόμα περισσότερο και να απολαμβάνουν την ανάγνωση.</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w:t>
      </w:r>
      <w:r w:rsidRPr="005B7A0B">
        <w:rPr>
          <w:rFonts w:ascii="Georgia" w:eastAsia="Times New Roman" w:hAnsi="Georgia" w:cs="Times New Roman"/>
          <w:b/>
          <w:bCs/>
          <w:color w:val="000000"/>
          <w:lang w:eastAsia="el-GR"/>
        </w:rPr>
        <w:t>Η ανάγνωση για την απόλαυση όμως δεν επαρκεί, χρειάζονται και αποτελεσματικές στρατηγικές ουσιαστικής αναγνωστικής κατανόησης</w:t>
      </w:r>
      <w:r w:rsidRPr="005B7A0B">
        <w:rPr>
          <w:rFonts w:ascii="Georgia" w:eastAsia="Times New Roman" w:hAnsi="Georgia" w:cs="Times New Roman"/>
          <w:color w:val="000000"/>
          <w:lang w:eastAsia="el-GR"/>
        </w:rPr>
        <w:t> για να γίνει κάποιος καλύτερος αναγνώστης. Οι διαφορές στο επίπεδο ενασχόλησης με την ανάγνωση και η χρήση στρατηγικών αναγνωστικής κατανόησης εξηγούν σε μεγάλο βαθμό τις διαφορές κατά το φύλο και την κοινωνικο-οικονομική κατάσταση σχετικά με τις αναγνωστικές επιδόσεις. Όταν συνεπώς αρέσει στα αγόρια η ανάγνωση, διαβάζουν ποικιλία θεματολογιών και υιοθετούν στρατηγικές αναγνωστικής κατανόησης, φθάνοντας έτσι σε επίπεδα αναγνωστικής επίδοσης υψηλότερα από εκείνα των κοριτσιών. Με τον ίδιο τρόπο, οι μειονεκτούντες μαθητές που διαβάζουν διάφορα κείμενα ποικίλης θεματολογίας και χρησιμοποιούν κατάλληλες αναγνωστικές στρατηγικές τείνουν να έχουν καλές αναγνωστικές επιδόσεις. Εντούτοις, οι δεκαπεντάχρονοι διαβάζουν λιγότερο για την ευχαρίστηση τους το 2009 σε σχέση με το 2000, και αυτή η μείωση ήταν περισσότερο εμφανής μεταξύ των αγοριών, κάτι που απειλεί να διευρύνει ακόμα</w:t>
      </w: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περισσότερο το χάσμα μεταξύ φύλων.</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w:t>
      </w:r>
      <w:r w:rsidRPr="005B7A0B">
        <w:rPr>
          <w:rFonts w:ascii="Georgia" w:eastAsia="Times New Roman" w:hAnsi="Georgia" w:cs="Times New Roman"/>
          <w:b/>
          <w:bCs/>
          <w:color w:val="000000"/>
          <w:lang w:eastAsia="el-GR"/>
        </w:rPr>
        <w:t>Η ενασχόληση με τις Τεχνολογίες Επικοινωνίας της Πληροφορίας μπορεί να επηρεάσει θετικά τα παιδιά και τους εφήβους</w:t>
      </w:r>
      <w:r w:rsidRPr="005B7A0B">
        <w:rPr>
          <w:rFonts w:ascii="Georgia" w:eastAsia="Times New Roman" w:hAnsi="Georgia" w:cs="Times New Roman"/>
          <w:color w:val="000000"/>
          <w:lang w:eastAsia="el-GR"/>
        </w:rPr>
        <w:t> ως προς την καλή γνώση ανάγνωσης. Έχοντας υπόψη την συνεχώς αυξανόμενη δημοτικότητα της online ανάγνωσης μεταξύ των εφήβων, η ένταξη των ηλεκτρονικών μέσων στα προγράμματα σπουδών ανάγνωσης θα μπορούσε να αποβεί σημαντική στην προώθηση του ενδιαφέροντος τους για την ανάγνωση.</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w:t>
      </w:r>
      <w:r w:rsidRPr="005B7A0B">
        <w:rPr>
          <w:rFonts w:ascii="Georgia" w:eastAsia="Times New Roman" w:hAnsi="Georgia" w:cs="Times New Roman"/>
          <w:b/>
          <w:bCs/>
          <w:color w:val="000000"/>
          <w:lang w:eastAsia="el-GR"/>
        </w:rPr>
        <w:t>Η θετική επιρροή από τις αναγνωστικές συνήθειες των γονιών</w:t>
      </w:r>
      <w:r w:rsidRPr="005B7A0B">
        <w:rPr>
          <w:rFonts w:ascii="Georgia" w:eastAsia="Times New Roman" w:hAnsi="Georgia" w:cs="Times New Roman"/>
          <w:color w:val="000000"/>
          <w:lang w:eastAsia="el-GR"/>
        </w:rPr>
        <w:t>. Η γνώση της ανάγνωσης μαθαίνεται και κατακτάται όχι μόνο στα σχολεία, αλλά και σε πολλά εξωσχολικά πλαίσια και περιβάλλοντα: η επιρροή του σχολείου δεν είναι η μοναδική για την εξέλιξη της αναγνωστικής ικανότητας. Οι γονείς στους οποίους αρέσει η ανάγνωση και επιθυμούν να μοιραστούν την εμπειρία αυτή με τα παιδιά τους δημιουργούν θετική στάση έναντι της ανάγνωσης. Ο πρώιμος γραμματισμός στο σπίτι δημιουργεί μια βάση ώστε να είναι ευχερέστερη η εκμάθηση της ανάγνωσης στο σχολείο. Αργότερα, η ανάγνωση κατά τον ελεύθερο χρόνο και η ανάγνωση για προσωπική ευχαρίστηση ενδυναμώνουν τις ικανότητες ανάγνωσης, οι οποίες με τη σειρά τους αυξάνουν τον όγκο ανάγνωσης των παιδιών. Αυτά που διαβάζουν περισσότερο γίνονται και καλύτεροι αναγνώστες. Το να περιτριγυρίζεται ένα παιδί από βιβλία διαβάζοντας στο σπίτι και στο οικογενειακό περιβάλλον, το να έχει στη διάθεση του περιοδικά και εφημερίδες, είναι πολύ σημαντικά στοιχεία για την περαιτέρω ανάπτυξη του αναγνωστικού γραμματισμού. Υπό μια ευρύτερη έννοια, η διαβίωση σε ένα περιβάλλον όπου παρέχεται αξία στην ανάγνωση, έχουν μεγάλη σημασία για να γίνει ένα παιδί ικανός αναγνώστης.</w:t>
      </w: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b/>
          <w:bCs/>
          <w:color w:val="000000"/>
          <w:lang w:eastAsia="el-GR"/>
        </w:rPr>
        <w:t>Οι δραστηριότητες γραμματισμού, λοιπόν, εκ μέρους των γονέων στο σπίτι είναι κεφαλαιώδους σημασίας</w:t>
      </w:r>
      <w:r w:rsidRPr="005B7A0B">
        <w:rPr>
          <w:rFonts w:ascii="Georgia" w:eastAsia="Times New Roman" w:hAnsi="Georgia" w:cs="Times New Roman"/>
          <w:color w:val="000000"/>
          <w:lang w:eastAsia="el-GR"/>
        </w:rPr>
        <w:t xml:space="preserve"> για την ανάπτυξη των αναγνωστικών ικανοτήτων των παιδιών, και ιδιαιτέρως πριν αυτά ξεκινήσουν στο σχολείο. Η γενική εμπλοκή των γονέων στην εκπαίδευση των παιδιών τους και </w:t>
      </w:r>
      <w:r w:rsidRPr="005B7A0B">
        <w:rPr>
          <w:rFonts w:ascii="Georgia" w:eastAsia="Times New Roman" w:hAnsi="Georgia" w:cs="Times New Roman"/>
          <w:color w:val="000000"/>
          <w:lang w:eastAsia="el-GR"/>
        </w:rPr>
        <w:lastRenderedPageBreak/>
        <w:t>ειδικότερα στην ανάπτυξη του γραμματισμού τους επηρεάζουν δημιουργώντας κίνητρα και επιτυχία στην ανάγνωση.</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w:t>
      </w:r>
      <w:r w:rsidRPr="005B7A0B">
        <w:rPr>
          <w:rFonts w:ascii="Georgia" w:eastAsia="Times New Roman" w:hAnsi="Georgia" w:cs="Times New Roman"/>
          <w:b/>
          <w:bCs/>
          <w:color w:val="000000"/>
          <w:lang w:eastAsia="el-GR"/>
        </w:rPr>
        <w:t>Η ανάπτυξη γνώσης του λεξιλογίου αποτελεί σημαντικό στοιχείο στην εκμάθηση ανάγνωσης</w:t>
      </w:r>
      <w:r w:rsidRPr="005B7A0B">
        <w:rPr>
          <w:rFonts w:ascii="Georgia" w:eastAsia="Times New Roman" w:hAnsi="Georgia" w:cs="Times New Roman"/>
          <w:color w:val="000000"/>
          <w:lang w:eastAsia="el-GR"/>
        </w:rPr>
        <w:t>. Οι μαθητές που διαθέτουν καλή γνώση λεξιλογίου έχουν πολλές πιθανότητες βελτίωσης στην ανάγνωση και την κατανόηση, ενώ εκείνοι που δεν διαθέτουν κάποιες λέξεις στην προφορική τους έκφραση μπορεί και να μην τις κατανοούν όταν τις βλέπουν σε γραπτό κείμενο. Τα στοιχεία των ερευνών επιβεβαιώνουν τη σημασία του λεξιλογίου και την σχέση του με την αναγνωστική κατανόηση.</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w:t>
      </w:r>
      <w:r w:rsidRPr="005B7A0B">
        <w:rPr>
          <w:rFonts w:ascii="Georgia" w:eastAsia="Times New Roman" w:hAnsi="Georgia" w:cs="Times New Roman"/>
          <w:b/>
          <w:bCs/>
          <w:color w:val="000000"/>
          <w:lang w:eastAsia="el-GR"/>
        </w:rPr>
        <w:t>Ο ρόλος των πολυμέσων</w:t>
      </w:r>
      <w:r w:rsidRPr="005B7A0B">
        <w:rPr>
          <w:rFonts w:ascii="Georgia" w:eastAsia="Times New Roman" w:hAnsi="Georgia" w:cs="Times New Roman"/>
          <w:color w:val="000000"/>
          <w:lang w:eastAsia="el-GR"/>
        </w:rPr>
        <w:t>. Η αναγνωστική συμπεριφορά των παιδιών και των εφήβων διέρχεται από αλλαγές. Παρατηρείται μια μετακίνηση από την παραδοσιακή ανάγνωση βιβλίων για προσωπική ευχαρίστηση προς τις νέες ευκαιρίες ανάγνωσης που παρέχονται από το διαδίκτυο και άλλα συστήματα πολυμέσων. Οι ηλεκτρονικοί υπολογιστές και άλλες συσκευές όπου κείμενα, εικόνες, κινηματογραφικές ταινίες και ήχοι μπορούν να παρουσιάζονται συνδυασμένα, αποτελούν εργαλεία κοινής χρήσεως πλέον που μπορούν να αναπτύξουν την ανάπτυξη των αναγνωστικών δεξιοτήτων των παιδιών.</w:t>
      </w: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Μια πρόσφατη έρευνα στο Ηνωμένο Βασίλειο μας δείχνει ότι τα υλικά με βάση την τεχνολογία είναι εκείνα τα οποία διαβάζονται πιο συχνά, με περίπου τα δυο τρίτα των παιδιών και των εφήβων να διαβάζουν από δικτυακούς τόπους κάθε εβδομάδα. Το 50% του δείγματος διαβάζει επίσης από blog και δικτυακούς τόπους κοινωνικής δικτύωσης, όπως επίσης και ηλεκτρονικά μηνύματα κάθε εβδομάδα. Οι μαθητές της δευτεροβάθμιας εκπαίδευσης διαβάζουν περισσότερο από υλικά των νέων τεχνολογιών από ότι εκείνοι της πρωτοβάθμιας εκπαίδευσης και ειδικότερα δικτυακούς τόπους, blog και δικτυακούς τόπους κοινωνικής δικτύωσης.</w:t>
      </w:r>
    </w:p>
    <w:p w:rsidR="005B7A0B" w:rsidRPr="005B7A0B" w:rsidRDefault="005B7A0B" w:rsidP="005B7A0B">
      <w:pPr>
        <w:spacing w:after="0" w:line="240" w:lineRule="auto"/>
        <w:jc w:val="both"/>
        <w:rPr>
          <w:rFonts w:ascii="Georgia" w:eastAsia="Times New Roman" w:hAnsi="Georgia" w:cs="Times New Roman"/>
          <w:color w:val="000000"/>
          <w:lang w:eastAsia="el-GR"/>
        </w:rPr>
      </w:pPr>
    </w:p>
    <w:p w:rsidR="005B7A0B" w:rsidRPr="005B7A0B" w:rsidRDefault="005B7A0B" w:rsidP="005B7A0B">
      <w:pPr>
        <w:spacing w:after="0" w:line="240" w:lineRule="auto"/>
        <w:jc w:val="both"/>
        <w:rPr>
          <w:rFonts w:ascii="Georgia" w:eastAsia="Times New Roman" w:hAnsi="Georgia" w:cs="Times New Roman"/>
          <w:color w:val="000000"/>
          <w:lang w:eastAsia="el-GR"/>
        </w:rPr>
      </w:pPr>
      <w:r w:rsidRPr="005B7A0B">
        <w:rPr>
          <w:rFonts w:ascii="Georgia" w:eastAsia="Times New Roman" w:hAnsi="Georgia" w:cs="Times New Roman"/>
          <w:color w:val="000000"/>
          <w:lang w:eastAsia="el-GR"/>
        </w:rPr>
        <w:t>- Τα παιδιά και οι έφηβοι που διαβάζουν κατά τον ελεύθερο χρόνο τους θεωρούν τους εαυτούς τους ως μέλη μιας αναγνωστικής κοινότητας και βρίσκονται μεταξύ τους σε αναγνωστική διάδραση γύρω από βιβλία και με κοινή την αγάπη για την ανάγνωση. </w:t>
      </w:r>
      <w:r w:rsidRPr="005B7A0B">
        <w:rPr>
          <w:rFonts w:ascii="Georgia" w:eastAsia="Times New Roman" w:hAnsi="Georgia" w:cs="Times New Roman"/>
          <w:b/>
          <w:bCs/>
          <w:color w:val="000000"/>
          <w:lang w:eastAsia="el-GR"/>
        </w:rPr>
        <w:t>Επομένως, άλλοι αναγνώστες, όπως γονείς, φίλοι και δάσκαλοι μπορούν να μεταδώσουν την ανάγκη ανάγνωσης με τον καλύτερο τρόπο, ενεργώντας ως πρότυπα</w:t>
      </w:r>
      <w:r w:rsidRPr="005B7A0B">
        <w:rPr>
          <w:rFonts w:ascii="Georgia" w:eastAsia="Times New Roman" w:hAnsi="Georgia" w:cs="Times New Roman"/>
          <w:color w:val="000000"/>
          <w:lang w:eastAsia="el-GR"/>
        </w:rPr>
        <w:t> ρόλου και επιδεικνύοντας την ικανοποίηση που μπορεί να προέλθει από την ανάγνωση.</w:t>
      </w:r>
    </w:p>
    <w:p w:rsidR="00D119E7" w:rsidRPr="005B7A0B" w:rsidRDefault="00D119E7" w:rsidP="005B7A0B"/>
    <w:sectPr w:rsidR="00D119E7" w:rsidRPr="005B7A0B" w:rsidSect="008E6DE5">
      <w:footerReference w:type="default" r:id="rId7"/>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331" w:rsidRDefault="009C1331" w:rsidP="005B7A0B">
      <w:pPr>
        <w:spacing w:after="0" w:line="240" w:lineRule="auto"/>
      </w:pPr>
      <w:r>
        <w:separator/>
      </w:r>
    </w:p>
  </w:endnote>
  <w:endnote w:type="continuationSeparator" w:id="0">
    <w:p w:rsidR="009C1331" w:rsidRDefault="009C1331" w:rsidP="005B7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988501"/>
      <w:docPartObj>
        <w:docPartGallery w:val="Page Numbers (Bottom of Page)"/>
        <w:docPartUnique/>
      </w:docPartObj>
    </w:sdtPr>
    <w:sdtEndPr/>
    <w:sdtContent>
      <w:p w:rsidR="005B7A0B" w:rsidRDefault="000D6526">
        <w:pPr>
          <w:pStyle w:val="a4"/>
        </w:pPr>
        <w:r>
          <w:rPr>
            <w:noProof/>
          </w:rPr>
          <mc:AlternateContent>
            <mc:Choice Requires="wpg">
              <w:drawing>
                <wp:anchor distT="0" distB="0" distL="114300" distR="114300" simplePos="0" relativeHeight="251660288" behindDoc="0" locked="0" layoutInCell="0" allowOverlap="1">
                  <wp:simplePos x="0" y="0"/>
                  <wp:positionH relativeFrom="rightMargin">
                    <wp:align>right</wp:align>
                  </wp:positionH>
                  <wp:positionV relativeFrom="bottomMargin">
                    <wp:align>bottom</wp:align>
                  </wp:positionV>
                  <wp:extent cx="914400" cy="914400"/>
                  <wp:effectExtent l="15875" t="0" r="317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2" name="Rectangle 2"/>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7A0B" w:rsidRDefault="005B7A0B"/>
                            </w:txbxContent>
                          </wps:txbx>
                          <wps:bodyPr rot="0" vert="horz" wrap="square" lIns="91440" tIns="45720" rIns="91440" bIns="45720" anchor="t" anchorCtr="0" upright="1">
                            <a:noAutofit/>
                          </wps:bodyPr>
                        </wps:wsp>
                        <wps:wsp>
                          <wps:cNvPr id="3" name="AutoShape 3"/>
                          <wps:cNvSpPr>
                            <a:spLocks noChangeArrowheads="1"/>
                          </wps:cNvSpPr>
                          <wps:spPr bwMode="auto">
                            <a:xfrm rot="13500000" flipH="1">
                              <a:off x="10813" y="14744"/>
                              <a:ext cx="1121" cy="495"/>
                            </a:xfrm>
                            <a:prstGeom prst="homePlate">
                              <a:avLst>
                                <a:gd name="adj" fmla="val 56616"/>
                              </a:avLst>
                            </a:prstGeom>
                            <a:noFill/>
                            <a:ln w="9525">
                              <a:solidFill>
                                <a:schemeClr val="accent1">
                                  <a:lumMod val="100000"/>
                                  <a:lumOff val="0"/>
                                </a:schemeClr>
                              </a:solidFill>
                              <a:miter lim="800000"/>
                              <a:headEnd/>
                              <a:tailEnd/>
                            </a:ln>
                            <a:extLst>
                              <a:ext uri="{909E8E84-426E-40DD-AFC4-6F175D3DCCD1}">
                                <a14:hiddenFill xmlns:a14="http://schemas.microsoft.com/office/drawing/2010/main">
                                  <a:solidFill>
                                    <a:schemeClr val="accent1">
                                      <a:lumMod val="100000"/>
                                      <a:lumOff val="0"/>
                                    </a:schemeClr>
                                  </a:solidFill>
                                </a14:hiddenFill>
                              </a:ext>
                            </a:extLst>
                          </wps:spPr>
                          <wps:txbx>
                            <w:txbxContent>
                              <w:p w:rsidR="005B7A0B" w:rsidRDefault="009C1331">
                                <w:pPr>
                                  <w:pStyle w:val="a4"/>
                                  <w:jc w:val="center"/>
                                </w:pPr>
                                <w:r>
                                  <w:fldChar w:fldCharType="begin"/>
                                </w:r>
                                <w:r>
                                  <w:instrText xml:space="preserve"> PAGE   \* MERGEFORMAT </w:instrText>
                                </w:r>
                                <w:r>
                                  <w:fldChar w:fldCharType="separate"/>
                                </w:r>
                                <w:r w:rsidR="000D6526">
                                  <w:rPr>
                                    <w:noProof/>
                                  </w:rPr>
                                  <w:t>1</w:t>
                                </w:r>
                                <w:r>
                                  <w:rPr>
                                    <w:noProof/>
                                  </w:rP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20.8pt;margin-top:0;width:1in;height:1in;z-index:251660288;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" o:allowincell="f">
                  <v:rect id="Rectangle 2" o:spid="_x0000_s1027" style="position:absolute;left:10800;top:144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textbox>
                      <w:txbxContent>
                        <w:p w:rsidR="005B7A0B" w:rsidRDefault="005B7A0B"/>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1028" type="#_x0000_t15" style="position:absolute;left:10813;top:14744;width:1121;height:495;rotation:13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qr6cMA&#10;AADaAAAADwAAAGRycy9kb3ducmV2LnhtbESPS2/CMBCE75X4D9Yi9QYOLa0gxaC24iVxKg9xXcXb&#10;JCJeB9uE8O9xJaQeRzPzjWYya00lGnK+tKxg0E9AEGdWl5wr2O8WvREIH5A1VpZJwY08zKadpwmm&#10;2l75h5ptyEWEsE9RQRFCnUrps4IM+r6tiaP3a53BEKXLpXZ4jXBTyZckeZcGS44LBdb0XVB22l6M&#10;gpXF8/Gov8bL+SHZvLl62JwPVqnnbvv5ASJQG/7Dj/ZaK3iFvyvxBs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qr6cMAAADaAAAADwAAAAAAAAAAAAAAAACYAgAAZHJzL2Rv&#10;d25yZXYueG1sUEsFBgAAAAAEAAQA9QAAAIgDAAAAAA==&#10;" filled="f" fillcolor="#4f81bd [3204]" strokecolor="#4f81bd [3204]">
                    <v:textbox inset=",0,,0">
                      <w:txbxContent>
                        <w:p w:rsidR="005B7A0B" w:rsidRDefault="009C1331">
                          <w:pPr>
                            <w:pStyle w:val="a4"/>
                            <w:jc w:val="center"/>
                          </w:pPr>
                          <w:r>
                            <w:fldChar w:fldCharType="begin"/>
                          </w:r>
                          <w:r>
                            <w:instrText xml:space="preserve"> PAGE   \* MERGEFORMAT </w:instrText>
                          </w:r>
                          <w:r>
                            <w:fldChar w:fldCharType="separate"/>
                          </w:r>
                          <w:r w:rsidR="000D6526">
                            <w:rPr>
                              <w:noProof/>
                            </w:rPr>
                            <w:t>1</w:t>
                          </w:r>
                          <w:r>
                            <w:rPr>
                              <w:noProof/>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331" w:rsidRDefault="009C1331" w:rsidP="005B7A0B">
      <w:pPr>
        <w:spacing w:after="0" w:line="240" w:lineRule="auto"/>
      </w:pPr>
      <w:r>
        <w:separator/>
      </w:r>
    </w:p>
  </w:footnote>
  <w:footnote w:type="continuationSeparator" w:id="0">
    <w:p w:rsidR="009C1331" w:rsidRDefault="009C1331" w:rsidP="005B7A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A0B"/>
    <w:rsid w:val="000D6526"/>
    <w:rsid w:val="005B7A0B"/>
    <w:rsid w:val="008E6DE5"/>
    <w:rsid w:val="009C1331"/>
    <w:rsid w:val="00C043E4"/>
    <w:rsid w:val="00D119E7"/>
    <w:rsid w:val="00D72F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B7A0B"/>
  </w:style>
  <w:style w:type="paragraph" w:styleId="a3">
    <w:name w:val="header"/>
    <w:basedOn w:val="a"/>
    <w:link w:val="Char"/>
    <w:uiPriority w:val="99"/>
    <w:semiHidden/>
    <w:unhideWhenUsed/>
    <w:rsid w:val="005B7A0B"/>
    <w:pPr>
      <w:tabs>
        <w:tab w:val="center" w:pos="4153"/>
        <w:tab w:val="right" w:pos="8306"/>
      </w:tabs>
      <w:spacing w:after="0" w:line="240" w:lineRule="auto"/>
    </w:pPr>
  </w:style>
  <w:style w:type="character" w:customStyle="1" w:styleId="Char">
    <w:name w:val="Κεφαλίδα Char"/>
    <w:basedOn w:val="a0"/>
    <w:link w:val="a3"/>
    <w:uiPriority w:val="99"/>
    <w:semiHidden/>
    <w:rsid w:val="005B7A0B"/>
  </w:style>
  <w:style w:type="paragraph" w:styleId="a4">
    <w:name w:val="footer"/>
    <w:basedOn w:val="a"/>
    <w:link w:val="Char0"/>
    <w:uiPriority w:val="99"/>
    <w:unhideWhenUsed/>
    <w:rsid w:val="005B7A0B"/>
    <w:pPr>
      <w:tabs>
        <w:tab w:val="center" w:pos="4153"/>
        <w:tab w:val="right" w:pos="8306"/>
      </w:tabs>
      <w:spacing w:after="0" w:line="240" w:lineRule="auto"/>
    </w:pPr>
  </w:style>
  <w:style w:type="character" w:customStyle="1" w:styleId="Char0">
    <w:name w:val="Υποσέλιδο Char"/>
    <w:basedOn w:val="a0"/>
    <w:link w:val="a4"/>
    <w:uiPriority w:val="99"/>
    <w:rsid w:val="005B7A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B7A0B"/>
  </w:style>
  <w:style w:type="paragraph" w:styleId="a3">
    <w:name w:val="header"/>
    <w:basedOn w:val="a"/>
    <w:link w:val="Char"/>
    <w:uiPriority w:val="99"/>
    <w:semiHidden/>
    <w:unhideWhenUsed/>
    <w:rsid w:val="005B7A0B"/>
    <w:pPr>
      <w:tabs>
        <w:tab w:val="center" w:pos="4153"/>
        <w:tab w:val="right" w:pos="8306"/>
      </w:tabs>
      <w:spacing w:after="0" w:line="240" w:lineRule="auto"/>
    </w:pPr>
  </w:style>
  <w:style w:type="character" w:customStyle="1" w:styleId="Char">
    <w:name w:val="Κεφαλίδα Char"/>
    <w:basedOn w:val="a0"/>
    <w:link w:val="a3"/>
    <w:uiPriority w:val="99"/>
    <w:semiHidden/>
    <w:rsid w:val="005B7A0B"/>
  </w:style>
  <w:style w:type="paragraph" w:styleId="a4">
    <w:name w:val="footer"/>
    <w:basedOn w:val="a"/>
    <w:link w:val="Char0"/>
    <w:uiPriority w:val="99"/>
    <w:unhideWhenUsed/>
    <w:rsid w:val="005B7A0B"/>
    <w:pPr>
      <w:tabs>
        <w:tab w:val="center" w:pos="4153"/>
        <w:tab w:val="right" w:pos="8306"/>
      </w:tabs>
      <w:spacing w:after="0" w:line="240" w:lineRule="auto"/>
    </w:pPr>
  </w:style>
  <w:style w:type="character" w:customStyle="1" w:styleId="Char0">
    <w:name w:val="Υποσέλιδο Char"/>
    <w:basedOn w:val="a0"/>
    <w:link w:val="a4"/>
    <w:uiPriority w:val="99"/>
    <w:rsid w:val="005B7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94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3051</Words>
  <Characters>17393</Characters>
  <Application>Microsoft Office Word</Application>
  <DocSecurity>0</DocSecurity>
  <Lines>144</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ΙΩΑΝΝΗΣ ΤΟΥΝΤΑΣ</dc:creator>
  <cp:lastModifiedBy>Χρύσα Στρούνη</cp:lastModifiedBy>
  <cp:revision>2</cp:revision>
  <dcterms:created xsi:type="dcterms:W3CDTF">2024-11-14T18:15:00Z</dcterms:created>
  <dcterms:modified xsi:type="dcterms:W3CDTF">2024-11-14T18:15:00Z</dcterms:modified>
</cp:coreProperties>
</file>