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6583F" w:rsidRPr="0046583F" w:rsidTr="00465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B044B6" w:rsidRPr="0046583F" w:rsidRDefault="00B044B6" w:rsidP="00536BE7">
            <w:pPr>
              <w:spacing w:before="120" w:line="360" w:lineRule="auto"/>
              <w:jc w:val="center"/>
              <w:rPr>
                <w:rFonts w:ascii="Palatino Linotype" w:hAnsi="Palatino Linotype"/>
                <w:b w:val="0"/>
                <w:color w:val="7030A0"/>
                <w:sz w:val="24"/>
                <w:szCs w:val="24"/>
              </w:rPr>
            </w:pPr>
            <w:r w:rsidRPr="0046583F">
              <w:rPr>
                <w:rFonts w:ascii="Palatino Linotype" w:hAnsi="Palatino Linotype"/>
                <w:color w:val="7030A0"/>
                <w:sz w:val="24"/>
                <w:szCs w:val="24"/>
              </w:rPr>
              <w:t>ΑΝΑΦΟΡΙΚΗ ΕΛΞΗ</w:t>
            </w:r>
          </w:p>
        </w:tc>
      </w:tr>
    </w:tbl>
    <w:p w:rsidR="00FF3751" w:rsidRPr="00B044B6" w:rsidRDefault="00FF3751" w:rsidP="00536BE7">
      <w:pPr>
        <w:jc w:val="both"/>
        <w:rPr>
          <w:rFonts w:ascii="Palatino Linotype" w:hAnsi="Palatino Linotype"/>
          <w:lang w:val="en-US"/>
        </w:rPr>
      </w:pPr>
    </w:p>
    <w:p w:rsidR="00B044B6" w:rsidRDefault="00536BE7" w:rsidP="00536BE7">
      <w:pPr>
        <w:pStyle w:val="a4"/>
        <w:spacing w:line="360" w:lineRule="auto"/>
        <w:ind w:left="0"/>
        <w:jc w:val="both"/>
        <w:rPr>
          <w:rFonts w:ascii="Palatino Linotype" w:hAnsi="Palatino Linotype"/>
        </w:rPr>
      </w:pPr>
      <w:r w:rsidRPr="00536BE7">
        <w:rPr>
          <w:rFonts w:ascii="Palatino Linotype" w:hAnsi="Palatino Linotype"/>
          <w:b/>
        </w:rPr>
        <w:t>1.</w:t>
      </w:r>
      <w:r w:rsidRPr="00536BE7">
        <w:rPr>
          <w:rFonts w:ascii="Palatino Linotype" w:hAnsi="Palatino Linotype"/>
        </w:rPr>
        <w:t xml:space="preserve"> </w:t>
      </w:r>
      <w:r w:rsidR="00B044B6" w:rsidRPr="00B044B6">
        <w:rPr>
          <w:rFonts w:ascii="Palatino Linotype" w:hAnsi="Palatino Linotype"/>
        </w:rPr>
        <w:t xml:space="preserve">Είναι το φαινόμενο στο οποίο μια αναφορική αντωνυμία εμφανίζεται σε πτώση </w:t>
      </w:r>
      <w:r w:rsidR="00B044B6" w:rsidRPr="00B044B6">
        <w:rPr>
          <w:rFonts w:ascii="Palatino Linotype" w:hAnsi="Palatino Linotype"/>
          <w:b/>
        </w:rPr>
        <w:t>γενική</w:t>
      </w:r>
      <w:r w:rsidR="00B044B6" w:rsidRPr="00B044B6">
        <w:rPr>
          <w:rFonts w:ascii="Palatino Linotype" w:hAnsi="Palatino Linotype"/>
        </w:rPr>
        <w:t xml:space="preserve"> ή </w:t>
      </w:r>
      <w:r w:rsidR="00B044B6" w:rsidRPr="00B044B6">
        <w:rPr>
          <w:rFonts w:ascii="Palatino Linotype" w:hAnsi="Palatino Linotype"/>
          <w:b/>
        </w:rPr>
        <w:t>δοτική</w:t>
      </w:r>
      <w:r w:rsidR="00B044B6" w:rsidRPr="00B044B6">
        <w:rPr>
          <w:rFonts w:ascii="Palatino Linotype" w:hAnsi="Palatino Linotype"/>
        </w:rPr>
        <w:t xml:space="preserve">, ενώ έπρεπε να βρίσκεται σε πτώση </w:t>
      </w:r>
      <w:r w:rsidR="00B044B6" w:rsidRPr="00B044B6">
        <w:rPr>
          <w:rFonts w:ascii="Palatino Linotype" w:hAnsi="Palatino Linotype"/>
          <w:b/>
        </w:rPr>
        <w:t>αιτιατική</w:t>
      </w:r>
      <w:r w:rsidR="00B044B6" w:rsidRPr="00B044B6">
        <w:rPr>
          <w:rFonts w:ascii="Palatino Linotype" w:hAnsi="Palatino Linotype"/>
        </w:rPr>
        <w:t>.</w:t>
      </w:r>
    </w:p>
    <w:p w:rsidR="0046583F" w:rsidRPr="0046583F" w:rsidRDefault="0046583F" w:rsidP="00536BE7">
      <w:pPr>
        <w:pStyle w:val="a4"/>
        <w:spacing w:line="360" w:lineRule="auto"/>
        <w:ind w:left="0"/>
        <w:jc w:val="both"/>
        <w:rPr>
          <w:rFonts w:ascii="Palatino Linotype" w:hAnsi="Palatino Linotype"/>
        </w:rPr>
      </w:pPr>
    </w:p>
    <w:p w:rsidR="00B044B6" w:rsidRDefault="00536BE7" w:rsidP="00536BE7">
      <w:pPr>
        <w:pStyle w:val="a4"/>
        <w:spacing w:line="360" w:lineRule="auto"/>
        <w:ind w:left="0"/>
        <w:jc w:val="both"/>
        <w:rPr>
          <w:rFonts w:ascii="Palatino Linotype" w:hAnsi="Palatino Linotype"/>
          <w:b/>
        </w:rPr>
      </w:pPr>
      <w:r w:rsidRPr="00536BE7">
        <w:rPr>
          <w:rFonts w:ascii="Palatino Linotype" w:hAnsi="Palatino Linotype"/>
          <w:b/>
        </w:rPr>
        <w:t>2.</w:t>
      </w:r>
      <w:r w:rsidRPr="00536BE7">
        <w:rPr>
          <w:rFonts w:ascii="Palatino Linotype" w:hAnsi="Palatino Linotype"/>
        </w:rPr>
        <w:t xml:space="preserve"> </w:t>
      </w:r>
      <w:r w:rsidR="00B044B6">
        <w:rPr>
          <w:rFonts w:ascii="Palatino Linotype" w:hAnsi="Palatino Linotype"/>
        </w:rPr>
        <w:t xml:space="preserve">Αντιλαμβανόμαστε ότι έχουμε αναφορική έλξη από το ότι το </w:t>
      </w:r>
      <w:r w:rsidR="00B044B6" w:rsidRPr="001C31D3">
        <w:rPr>
          <w:rFonts w:ascii="Palatino Linotype" w:hAnsi="Palatino Linotype"/>
          <w:b/>
        </w:rPr>
        <w:t>ρήμα</w:t>
      </w:r>
      <w:r w:rsidR="00B044B6">
        <w:rPr>
          <w:rFonts w:ascii="Palatino Linotype" w:hAnsi="Palatino Linotype"/>
        </w:rPr>
        <w:t xml:space="preserve"> της δευτερεύουσας αναφορικής πρότασης </w:t>
      </w:r>
      <w:r w:rsidR="00B044B6" w:rsidRPr="001C31D3">
        <w:rPr>
          <w:rFonts w:ascii="Palatino Linotype" w:hAnsi="Palatino Linotype"/>
          <w:b/>
        </w:rPr>
        <w:t>δέχεται αντικείμενο σε</w:t>
      </w:r>
      <w:r w:rsidR="00B044B6">
        <w:rPr>
          <w:rFonts w:ascii="Palatino Linotype" w:hAnsi="Palatino Linotype"/>
        </w:rPr>
        <w:t xml:space="preserve"> </w:t>
      </w:r>
      <w:r w:rsidR="00B044B6" w:rsidRPr="00B044B6">
        <w:rPr>
          <w:rFonts w:ascii="Palatino Linotype" w:hAnsi="Palatino Linotype"/>
          <w:b/>
        </w:rPr>
        <w:t>αιτιατική</w:t>
      </w:r>
      <w:r w:rsidR="00B044B6">
        <w:rPr>
          <w:rFonts w:ascii="Palatino Linotype" w:hAnsi="Palatino Linotype"/>
        </w:rPr>
        <w:t xml:space="preserve">, </w:t>
      </w:r>
      <w:r w:rsidR="00B044B6" w:rsidRPr="001C31D3">
        <w:rPr>
          <w:rFonts w:ascii="Palatino Linotype" w:hAnsi="Palatino Linotype"/>
          <w:u w:val="single"/>
        </w:rPr>
        <w:t>όμως</w:t>
      </w:r>
      <w:r w:rsidR="00B044B6">
        <w:rPr>
          <w:rFonts w:ascii="Palatino Linotype" w:hAnsi="Palatino Linotype"/>
        </w:rPr>
        <w:t xml:space="preserve"> η αναφορική αντωνυμία βρίσκεται σε πτώση </w:t>
      </w:r>
      <w:r w:rsidR="00B044B6" w:rsidRPr="00B044B6">
        <w:rPr>
          <w:rFonts w:ascii="Palatino Linotype" w:hAnsi="Palatino Linotype"/>
          <w:u w:val="single"/>
        </w:rPr>
        <w:t>γενική</w:t>
      </w:r>
      <w:r w:rsidR="00B044B6">
        <w:rPr>
          <w:rFonts w:ascii="Palatino Linotype" w:hAnsi="Palatino Linotype"/>
        </w:rPr>
        <w:t xml:space="preserve"> ή </w:t>
      </w:r>
      <w:r w:rsidR="00B044B6" w:rsidRPr="00B044B6">
        <w:rPr>
          <w:rFonts w:ascii="Palatino Linotype" w:hAnsi="Palatino Linotype"/>
          <w:u w:val="single"/>
        </w:rPr>
        <w:t>δοτική</w:t>
      </w:r>
      <w:r w:rsidR="00B044B6">
        <w:rPr>
          <w:rFonts w:ascii="Palatino Linotype" w:hAnsi="Palatino Linotype"/>
        </w:rPr>
        <w:t xml:space="preserve"> και συνεπώς πρέπει να την </w:t>
      </w:r>
      <w:r w:rsidR="00B044B6" w:rsidRPr="00B044B6">
        <w:rPr>
          <w:rFonts w:ascii="Palatino Linotype" w:hAnsi="Palatino Linotype"/>
          <w:b/>
        </w:rPr>
        <w:t>τρέψουμε</w:t>
      </w:r>
      <w:r w:rsidR="00B044B6">
        <w:rPr>
          <w:rFonts w:ascii="Palatino Linotype" w:hAnsi="Palatino Linotype"/>
        </w:rPr>
        <w:t xml:space="preserve"> σε </w:t>
      </w:r>
      <w:r w:rsidR="00B044B6" w:rsidRPr="00B044B6">
        <w:rPr>
          <w:rFonts w:ascii="Palatino Linotype" w:hAnsi="Palatino Linotype"/>
          <w:b/>
        </w:rPr>
        <w:t>αιτιατική</w:t>
      </w:r>
      <w:r w:rsidR="00B044B6">
        <w:rPr>
          <w:rFonts w:ascii="Palatino Linotype" w:hAnsi="Palatino Linotype"/>
          <w:b/>
        </w:rPr>
        <w:t>.</w:t>
      </w:r>
    </w:p>
    <w:p w:rsidR="0046583F" w:rsidRPr="00536BE7" w:rsidRDefault="0046583F" w:rsidP="00536BE7">
      <w:pPr>
        <w:pStyle w:val="a4"/>
        <w:spacing w:line="360" w:lineRule="auto"/>
        <w:ind w:left="0"/>
        <w:jc w:val="both"/>
        <w:rPr>
          <w:rFonts w:ascii="Palatino Linotype" w:hAnsi="Palatino Linotype"/>
          <w:b/>
        </w:rPr>
      </w:pPr>
    </w:p>
    <w:p w:rsidR="00B044B6" w:rsidRDefault="00536BE7" w:rsidP="00536BE7">
      <w:pPr>
        <w:pStyle w:val="a4"/>
        <w:spacing w:line="360" w:lineRule="auto"/>
        <w:ind w:left="0"/>
        <w:jc w:val="both"/>
        <w:rPr>
          <w:rFonts w:ascii="Palatino Linotype" w:hAnsi="Palatino Linotype"/>
        </w:rPr>
      </w:pPr>
      <w:r w:rsidRPr="00536BE7">
        <w:rPr>
          <w:rFonts w:ascii="Palatino Linotype" w:hAnsi="Palatino Linotype"/>
          <w:b/>
        </w:rPr>
        <w:t>3.</w:t>
      </w:r>
      <w:r w:rsidRPr="00536BE7">
        <w:rPr>
          <w:rFonts w:ascii="Palatino Linotype" w:hAnsi="Palatino Linotype"/>
        </w:rPr>
        <w:t xml:space="preserve"> </w:t>
      </w:r>
      <w:r w:rsidR="00B044B6" w:rsidRPr="00B044B6">
        <w:rPr>
          <w:rFonts w:ascii="Palatino Linotype" w:hAnsi="Palatino Linotype"/>
        </w:rPr>
        <w:t xml:space="preserve">Στην περίπτωση αυτή η αναφορική αντωνυμία </w:t>
      </w:r>
      <w:r w:rsidR="00B044B6" w:rsidRPr="0046583F">
        <w:rPr>
          <w:rFonts w:ascii="Palatino Linotype" w:hAnsi="Palatino Linotype"/>
          <w:u w:val="single" w:color="7030A0"/>
        </w:rPr>
        <w:t>έλκεται</w:t>
      </w:r>
      <w:r w:rsidR="00B044B6" w:rsidRPr="00B044B6">
        <w:rPr>
          <w:rFonts w:ascii="Palatino Linotype" w:hAnsi="Palatino Linotype"/>
        </w:rPr>
        <w:t xml:space="preserve"> από κάποιο </w:t>
      </w:r>
      <w:r w:rsidR="00B044B6" w:rsidRPr="001C31D3">
        <w:rPr>
          <w:rFonts w:ascii="Palatino Linotype" w:hAnsi="Palatino Linotype"/>
          <w:b/>
        </w:rPr>
        <w:t>ουσιαστικό</w:t>
      </w:r>
      <w:r w:rsidR="00B044B6" w:rsidRPr="00B044B6">
        <w:rPr>
          <w:rFonts w:ascii="Palatino Linotype" w:hAnsi="Palatino Linotype"/>
        </w:rPr>
        <w:t xml:space="preserve"> ή </w:t>
      </w:r>
      <w:r w:rsidR="00B044B6" w:rsidRPr="0046583F">
        <w:rPr>
          <w:rFonts w:ascii="Palatino Linotype" w:hAnsi="Palatino Linotype"/>
          <w:u w:val="single" w:color="7030A0"/>
        </w:rPr>
        <w:t>τύπο της δεικτικής αντωνυμίας</w:t>
      </w:r>
      <w:r w:rsidR="00B044B6">
        <w:rPr>
          <w:rFonts w:ascii="Palatino Linotype" w:hAnsi="Palatino Linotype"/>
          <w:b/>
        </w:rPr>
        <w:t xml:space="preserve"> </w:t>
      </w:r>
      <w:r w:rsidR="00B044B6" w:rsidRPr="00B044B6">
        <w:rPr>
          <w:rFonts w:ascii="Palatino Linotype" w:hAnsi="Palatino Linotype"/>
          <w:b/>
        </w:rPr>
        <w:t>οὗτος</w:t>
      </w:r>
      <w:r w:rsidR="00B044B6">
        <w:rPr>
          <w:rFonts w:ascii="Palatino Linotype" w:hAnsi="Palatino Linotype"/>
        </w:rPr>
        <w:t xml:space="preserve"> που προηγείται και βρίσκεται σε </w:t>
      </w:r>
      <w:r w:rsidR="00B044B6" w:rsidRPr="00B044B6">
        <w:rPr>
          <w:rFonts w:ascii="Palatino Linotype" w:hAnsi="Palatino Linotype"/>
          <w:b/>
        </w:rPr>
        <w:t>πτώση γενική</w:t>
      </w:r>
      <w:r w:rsidR="00B044B6">
        <w:rPr>
          <w:rFonts w:ascii="Palatino Linotype" w:hAnsi="Palatino Linotype"/>
        </w:rPr>
        <w:t xml:space="preserve"> ή </w:t>
      </w:r>
      <w:r w:rsidR="00B044B6" w:rsidRPr="00B044B6">
        <w:rPr>
          <w:rFonts w:ascii="Palatino Linotype" w:hAnsi="Palatino Linotype"/>
          <w:b/>
        </w:rPr>
        <w:t>δοτική</w:t>
      </w:r>
      <w:r w:rsidR="00B044B6">
        <w:rPr>
          <w:rFonts w:ascii="Palatino Linotype" w:hAnsi="Palatino Linotype"/>
        </w:rPr>
        <w:t>.</w:t>
      </w:r>
    </w:p>
    <w:p w:rsidR="0046583F" w:rsidRPr="00536BE7" w:rsidRDefault="0046583F" w:rsidP="00536BE7">
      <w:pPr>
        <w:pStyle w:val="a4"/>
        <w:spacing w:line="360" w:lineRule="auto"/>
        <w:ind w:left="0"/>
        <w:jc w:val="both"/>
        <w:rPr>
          <w:rFonts w:ascii="Palatino Linotype" w:hAnsi="Palatino Linotype"/>
        </w:rPr>
      </w:pPr>
    </w:p>
    <w:p w:rsidR="00B044B6" w:rsidRPr="0046583F" w:rsidRDefault="00536BE7" w:rsidP="00536BE7">
      <w:pPr>
        <w:pStyle w:val="a4"/>
        <w:spacing w:line="360" w:lineRule="auto"/>
        <w:ind w:left="0"/>
        <w:jc w:val="both"/>
        <w:rPr>
          <w:rFonts w:ascii="Palatino Linotype" w:hAnsi="Palatino Linotype"/>
          <w:u w:val="single" w:color="7030A0"/>
        </w:rPr>
      </w:pPr>
      <w:r w:rsidRPr="00536BE7">
        <w:rPr>
          <w:rFonts w:ascii="Palatino Linotype" w:hAnsi="Palatino Linotype"/>
          <w:b/>
        </w:rPr>
        <w:t>4.</w:t>
      </w:r>
      <w:r w:rsidRPr="00536BE7">
        <w:rPr>
          <w:rFonts w:ascii="Palatino Linotype" w:hAnsi="Palatino Linotype"/>
        </w:rPr>
        <w:t xml:space="preserve"> </w:t>
      </w:r>
      <w:r w:rsidR="00B044B6">
        <w:rPr>
          <w:rFonts w:ascii="Palatino Linotype" w:hAnsi="Palatino Linotype"/>
        </w:rPr>
        <w:t xml:space="preserve">Όταν η λέξη που έλκει την αναφορική αντωνυμία, είναι τύπος της </w:t>
      </w:r>
      <w:r w:rsidR="00B044B6" w:rsidRPr="00B044B6">
        <w:rPr>
          <w:rFonts w:ascii="Palatino Linotype" w:hAnsi="Palatino Linotype"/>
        </w:rPr>
        <w:t>δεικτικής αντωνυμίας</w:t>
      </w:r>
      <w:r w:rsidR="00B044B6">
        <w:rPr>
          <w:rFonts w:ascii="Palatino Linotype" w:hAnsi="Palatino Linotype"/>
          <w:b/>
        </w:rPr>
        <w:t xml:space="preserve"> </w:t>
      </w:r>
      <w:r w:rsidR="00B044B6" w:rsidRPr="001C31D3">
        <w:rPr>
          <w:rFonts w:ascii="Palatino Linotype" w:hAnsi="Palatino Linotype"/>
          <w:b/>
        </w:rPr>
        <w:t>οὗτος</w:t>
      </w:r>
      <w:r w:rsidR="00B044B6" w:rsidRPr="008079B6">
        <w:rPr>
          <w:rFonts w:ascii="Palatino Linotype" w:hAnsi="Palatino Linotype"/>
        </w:rPr>
        <w:t xml:space="preserve"> συνήθως </w:t>
      </w:r>
      <w:r w:rsidR="00B044B6" w:rsidRPr="001C31D3">
        <w:rPr>
          <w:rFonts w:ascii="Palatino Linotype" w:hAnsi="Palatino Linotype"/>
          <w:b/>
        </w:rPr>
        <w:t>παραλείπεται</w:t>
      </w:r>
      <w:r w:rsidR="00B044B6" w:rsidRPr="008079B6">
        <w:rPr>
          <w:rFonts w:ascii="Palatino Linotype" w:hAnsi="Palatino Linotype"/>
        </w:rPr>
        <w:t xml:space="preserve"> και οφείλουμε να </w:t>
      </w:r>
      <w:r w:rsidR="00B044B6" w:rsidRPr="001C31D3">
        <w:rPr>
          <w:rFonts w:ascii="Palatino Linotype" w:hAnsi="Palatino Linotype"/>
          <w:b/>
        </w:rPr>
        <w:t>εννοήσουμε</w:t>
      </w:r>
      <w:r w:rsidR="00B044B6" w:rsidRPr="008079B6">
        <w:rPr>
          <w:rFonts w:ascii="Palatino Linotype" w:hAnsi="Palatino Linotype"/>
        </w:rPr>
        <w:t xml:space="preserve"> τον τύπο, προκειμένου να συντάξουμε. </w:t>
      </w:r>
      <w:r w:rsidR="00B044B6" w:rsidRPr="0046583F">
        <w:rPr>
          <w:rFonts w:ascii="Palatino Linotype" w:hAnsi="Palatino Linotype"/>
          <w:u w:val="single" w:color="7030A0"/>
        </w:rPr>
        <w:t>Δίνουμε</w:t>
      </w:r>
      <w:r w:rsidR="001C31D3" w:rsidRPr="0046583F">
        <w:rPr>
          <w:rFonts w:ascii="Palatino Linotype" w:hAnsi="Palatino Linotype"/>
          <w:u w:val="single" w:color="7030A0"/>
        </w:rPr>
        <w:t xml:space="preserve"> στη δεικτική αντωνυμία τα στοι</w:t>
      </w:r>
      <w:r w:rsidR="00B044B6" w:rsidRPr="0046583F">
        <w:rPr>
          <w:rFonts w:ascii="Palatino Linotype" w:hAnsi="Palatino Linotype"/>
          <w:u w:val="single" w:color="7030A0"/>
        </w:rPr>
        <w:t>χεία της αναφορικής</w:t>
      </w:r>
      <w:r w:rsidR="001C31D3" w:rsidRPr="0046583F">
        <w:rPr>
          <w:rFonts w:ascii="Palatino Linotype" w:hAnsi="Palatino Linotype"/>
          <w:u w:val="single" w:color="7030A0"/>
        </w:rPr>
        <w:t>,</w:t>
      </w:r>
      <w:r w:rsidR="00B044B6" w:rsidRPr="0046583F">
        <w:rPr>
          <w:rFonts w:ascii="Palatino Linotype" w:hAnsi="Palatino Linotype"/>
          <w:u w:val="single" w:color="7030A0"/>
        </w:rPr>
        <w:t xml:space="preserve"> δηλαδή</w:t>
      </w:r>
      <w:r w:rsidR="001C31D3" w:rsidRPr="0046583F">
        <w:rPr>
          <w:rFonts w:ascii="Palatino Linotype" w:hAnsi="Palatino Linotype"/>
          <w:u w:val="single" w:color="7030A0"/>
        </w:rPr>
        <w:t>,</w:t>
      </w:r>
      <w:r w:rsidR="00B044B6" w:rsidRPr="0046583F">
        <w:rPr>
          <w:rFonts w:ascii="Palatino Linotype" w:hAnsi="Palatino Linotype"/>
          <w:u w:val="single" w:color="7030A0"/>
        </w:rPr>
        <w:t xml:space="preserve"> πτώση, γένος, αριθμό, πρόθεση (αν υπάρχει).</w:t>
      </w:r>
    </w:p>
    <w:p w:rsidR="00B044B6" w:rsidRPr="0046583F" w:rsidRDefault="00B044B6" w:rsidP="00536BE7">
      <w:pPr>
        <w:pStyle w:val="a4"/>
        <w:ind w:left="0"/>
        <w:jc w:val="both"/>
        <w:rPr>
          <w:rFonts w:ascii="Palatino Linotype" w:hAnsi="Palatino Linotype"/>
          <w:b/>
        </w:rPr>
      </w:pPr>
    </w:p>
    <w:p w:rsidR="00920B3E" w:rsidRDefault="00920B3E" w:rsidP="00536BE7">
      <w:pPr>
        <w:pStyle w:val="a4"/>
        <w:tabs>
          <w:tab w:val="left" w:pos="5529"/>
        </w:tabs>
        <w:spacing w:line="360" w:lineRule="auto"/>
        <w:ind w:left="0"/>
        <w:jc w:val="both"/>
        <w:rPr>
          <w:rFonts w:ascii="Palatino Linotype" w:hAnsi="Palatino Linotype"/>
          <w:b/>
        </w:rPr>
      </w:pPr>
      <w:r w:rsidRPr="008079B6">
        <w:rPr>
          <w:rFonts w:ascii="Palatino Linotype" w:hAnsi="Palatino Linotype"/>
        </w:rPr>
        <w:t>π</w:t>
      </w:r>
      <w:r w:rsidR="00B044B6" w:rsidRPr="008079B6">
        <w:rPr>
          <w:rFonts w:ascii="Palatino Linotype" w:hAnsi="Palatino Linotype"/>
        </w:rPr>
        <w:t>.χ.</w:t>
      </w:r>
      <w:r w:rsidR="00B044B6">
        <w:rPr>
          <w:rFonts w:ascii="Palatino Linotype" w:hAnsi="Palatino Linotype"/>
          <w:b/>
        </w:rPr>
        <w:t xml:space="preserve"> </w:t>
      </w:r>
      <w:r w:rsidR="00B044B6" w:rsidRPr="00920B3E">
        <w:rPr>
          <w:rFonts w:ascii="Palatino Linotype" w:hAnsi="Palatino Linotype"/>
        </w:rPr>
        <w:t>Ἦγε στράτευμα</w:t>
      </w:r>
      <w:r w:rsidRPr="00920B3E">
        <w:rPr>
          <w:rFonts w:ascii="Palatino Linotype" w:hAnsi="Palatino Linotype"/>
        </w:rPr>
        <w:t xml:space="preserve"> ἐκ τῶν πόλεων ὧν ἔπεισε.</w:t>
      </w:r>
    </w:p>
    <w:p w:rsidR="00B044B6" w:rsidRPr="00920B3E" w:rsidRDefault="00B044B6" w:rsidP="00536BE7">
      <w:pPr>
        <w:pStyle w:val="a4"/>
        <w:tabs>
          <w:tab w:val="left" w:pos="5529"/>
        </w:tabs>
        <w:spacing w:line="360" w:lineRule="auto"/>
        <w:ind w:left="0"/>
        <w:jc w:val="both"/>
        <w:rPr>
          <w:rFonts w:ascii="Palatino Linotype" w:hAnsi="Palatino Linotype"/>
        </w:rPr>
      </w:pPr>
      <w:r w:rsidRPr="00920B3E">
        <w:rPr>
          <w:rFonts w:ascii="Palatino Linotype" w:hAnsi="Palatino Linotype"/>
        </w:rPr>
        <w:t xml:space="preserve"> </w:t>
      </w:r>
      <w:r w:rsidR="00920B3E" w:rsidRPr="00920B3E">
        <w:rPr>
          <w:rFonts w:ascii="Palatino Linotype" w:hAnsi="Palatino Linotype"/>
        </w:rPr>
        <w:t xml:space="preserve">       Ἐμμενοῦμεν ταῖς δίκαις, αἷς ἄν ἡ πόλις δι</w:t>
      </w:r>
      <w:r w:rsidR="001C31D3">
        <w:rPr>
          <w:rFonts w:ascii="Palatino Linotype" w:hAnsi="Palatino Linotype"/>
        </w:rPr>
        <w:t>κ</w:t>
      </w:r>
      <w:r w:rsidR="00920B3E" w:rsidRPr="00920B3E">
        <w:rPr>
          <w:rFonts w:ascii="Palatino Linotype" w:hAnsi="Palatino Linotype"/>
        </w:rPr>
        <w:t>άζῃ.</w:t>
      </w:r>
    </w:p>
    <w:p w:rsidR="00920B3E" w:rsidRPr="00920B3E" w:rsidRDefault="00536BE7" w:rsidP="00536BE7">
      <w:pPr>
        <w:pStyle w:val="a4"/>
        <w:tabs>
          <w:tab w:val="left" w:pos="5529"/>
        </w:tabs>
        <w:spacing w:line="360" w:lineRule="auto"/>
        <w:ind w:left="426"/>
        <w:jc w:val="both"/>
        <w:rPr>
          <w:rFonts w:ascii="Palatino Linotype" w:hAnsi="Palatino Linotype"/>
        </w:rPr>
      </w:pPr>
      <w:r w:rsidRPr="00536BE7">
        <w:rPr>
          <w:rFonts w:ascii="Palatino Linotype" w:hAnsi="Palatino Linotype"/>
        </w:rPr>
        <w:t xml:space="preserve"> </w:t>
      </w:r>
      <w:r w:rsidR="00920B3E" w:rsidRPr="00920B3E">
        <w:rPr>
          <w:rFonts w:ascii="Palatino Linotype" w:hAnsi="Palatino Linotype"/>
        </w:rPr>
        <w:t>Χρησμῳδοί οὐδέν ἲσασιν, ὧν λέγουσιν.</w:t>
      </w:r>
    </w:p>
    <w:p w:rsidR="00920B3E" w:rsidRPr="00920B3E" w:rsidRDefault="00536BE7" w:rsidP="00536BE7">
      <w:pPr>
        <w:pStyle w:val="a4"/>
        <w:tabs>
          <w:tab w:val="left" w:pos="5529"/>
        </w:tabs>
        <w:spacing w:line="360" w:lineRule="auto"/>
        <w:ind w:left="426"/>
        <w:jc w:val="both"/>
        <w:rPr>
          <w:rFonts w:ascii="Palatino Linotype" w:hAnsi="Palatino Linotype"/>
        </w:rPr>
      </w:pPr>
      <w:r w:rsidRPr="00536BE7">
        <w:rPr>
          <w:rFonts w:ascii="Palatino Linotype" w:hAnsi="Palatino Linotype"/>
        </w:rPr>
        <w:t xml:space="preserve"> </w:t>
      </w:r>
      <w:r w:rsidR="00920B3E" w:rsidRPr="00920B3E">
        <w:rPr>
          <w:rFonts w:ascii="Palatino Linotype" w:hAnsi="Palatino Linotype"/>
        </w:rPr>
        <w:t>Ἀμελήσω ὧν με δεῖ πράττειν.</w:t>
      </w:r>
    </w:p>
    <w:p w:rsidR="00920B3E" w:rsidRDefault="00536BE7" w:rsidP="00536BE7">
      <w:pPr>
        <w:pStyle w:val="a4"/>
        <w:tabs>
          <w:tab w:val="left" w:pos="5529"/>
        </w:tabs>
        <w:spacing w:line="360" w:lineRule="auto"/>
        <w:ind w:left="426"/>
        <w:jc w:val="both"/>
        <w:rPr>
          <w:rFonts w:ascii="Palatino Linotype" w:hAnsi="Palatino Linotype"/>
        </w:rPr>
      </w:pPr>
      <w:r w:rsidRPr="00536BE7">
        <w:rPr>
          <w:rFonts w:ascii="Palatino Linotype" w:hAnsi="Palatino Linotype"/>
        </w:rPr>
        <w:t xml:space="preserve"> </w:t>
      </w:r>
      <w:r w:rsidR="00920B3E" w:rsidRPr="00920B3E">
        <w:rPr>
          <w:rFonts w:ascii="Palatino Linotype" w:hAnsi="Palatino Linotype"/>
        </w:rPr>
        <w:t>Μίνως παλαίτατος, ὧν ἀκοῇ ἲσμεν ναυτικόν ἐκτήσατο.</w:t>
      </w:r>
    </w:p>
    <w:p w:rsidR="00920B3E" w:rsidRPr="00920B3E" w:rsidRDefault="00536BE7" w:rsidP="00536BE7">
      <w:pPr>
        <w:pStyle w:val="a4"/>
        <w:tabs>
          <w:tab w:val="left" w:pos="5529"/>
        </w:tabs>
        <w:spacing w:line="360" w:lineRule="auto"/>
        <w:ind w:left="426"/>
        <w:jc w:val="both"/>
        <w:rPr>
          <w:rFonts w:ascii="Palatino Linotype" w:hAnsi="Palatino Linotype"/>
        </w:rPr>
      </w:pPr>
      <w:r w:rsidRPr="0046583F">
        <w:rPr>
          <w:rFonts w:ascii="Palatino Linotype" w:hAnsi="Palatino Linotype"/>
        </w:rPr>
        <w:t xml:space="preserve"> </w:t>
      </w:r>
      <w:r w:rsidR="00920B3E">
        <w:rPr>
          <w:rFonts w:ascii="Palatino Linotype" w:hAnsi="Palatino Linotype"/>
        </w:rPr>
        <w:t xml:space="preserve">Λέξω περί </w:t>
      </w:r>
      <w:r w:rsidR="00920B3E" w:rsidRPr="00920B3E">
        <w:rPr>
          <w:rFonts w:ascii="Palatino Linotype" w:hAnsi="Palatino Linotype"/>
        </w:rPr>
        <w:t>ὧν σκοπεῖτε.</w:t>
      </w:r>
    </w:p>
    <w:p w:rsidR="00536BE7" w:rsidRPr="00536BE7" w:rsidRDefault="00536BE7" w:rsidP="00536BE7">
      <w:pPr>
        <w:jc w:val="both"/>
        <w:rPr>
          <w:rFonts w:ascii="Palatino Linotype" w:hAnsi="Palatino Linotype"/>
          <w:lang w:val="en-US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044B6" w:rsidRPr="00920B3E" w:rsidTr="00465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B044B6" w:rsidRPr="0046583F" w:rsidRDefault="00B044B6" w:rsidP="00536BE7">
            <w:pPr>
              <w:spacing w:before="120" w:line="360" w:lineRule="auto"/>
              <w:jc w:val="center"/>
              <w:rPr>
                <w:rFonts w:ascii="Palatino Linotype" w:hAnsi="Palatino Linotype"/>
                <w:b w:val="0"/>
                <w:color w:val="7030A0"/>
              </w:rPr>
            </w:pPr>
            <w:r w:rsidRPr="0046583F">
              <w:rPr>
                <w:rFonts w:ascii="Palatino Linotype" w:hAnsi="Palatino Linotype"/>
                <w:color w:val="7030A0"/>
              </w:rPr>
              <w:t>ΑΝΤΙΣΤΡΟΦΗ ΕΛΞΗ</w:t>
            </w:r>
          </w:p>
        </w:tc>
      </w:tr>
    </w:tbl>
    <w:p w:rsidR="00B044B6" w:rsidRDefault="00B044B6" w:rsidP="00536BE7">
      <w:pPr>
        <w:jc w:val="both"/>
        <w:rPr>
          <w:rFonts w:ascii="Palatino Linotype" w:hAnsi="Palatino Linotype"/>
        </w:rPr>
      </w:pPr>
    </w:p>
    <w:p w:rsidR="00920B3E" w:rsidRDefault="00920B3E" w:rsidP="00536BE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Είναι το φαινόμενο στο οποίο ο </w:t>
      </w:r>
      <w:r w:rsidRPr="0046583F">
        <w:rPr>
          <w:rFonts w:ascii="Palatino Linotype" w:hAnsi="Palatino Linotype"/>
          <w:u w:val="single" w:color="7030A0"/>
        </w:rPr>
        <w:t>όρος αναφοράς</w:t>
      </w:r>
      <w:r>
        <w:rPr>
          <w:rFonts w:ascii="Palatino Linotype" w:hAnsi="Palatino Linotype"/>
        </w:rPr>
        <w:t xml:space="preserve"> παίρνει την </w:t>
      </w:r>
      <w:r w:rsidRPr="0046583F">
        <w:rPr>
          <w:rFonts w:ascii="Palatino Linotype" w:hAnsi="Palatino Linotype"/>
          <w:u w:val="single" w:color="7030A0"/>
        </w:rPr>
        <w:t>πτώση</w:t>
      </w:r>
      <w:r>
        <w:rPr>
          <w:rFonts w:ascii="Palatino Linotype" w:hAnsi="Palatino Linotype"/>
        </w:rPr>
        <w:t xml:space="preserve"> της αναφορικής </w:t>
      </w:r>
      <w:r w:rsidR="008079B6">
        <w:rPr>
          <w:rFonts w:ascii="Palatino Linotype" w:hAnsi="Palatino Linotype"/>
        </w:rPr>
        <w:t>αντωνυμίας</w:t>
      </w:r>
      <w:r>
        <w:rPr>
          <w:rFonts w:ascii="Palatino Linotype" w:hAnsi="Palatino Linotype"/>
        </w:rPr>
        <w:t xml:space="preserve"> που ακολουθεί.</w:t>
      </w:r>
    </w:p>
    <w:p w:rsidR="00920B3E" w:rsidRDefault="008079B6" w:rsidP="00536BE7">
      <w:pPr>
        <w:jc w:val="both"/>
        <w:rPr>
          <w:rFonts w:ascii="Palatino Linotype" w:hAnsi="Palatino Linotype"/>
        </w:rPr>
      </w:pPr>
      <w:bookmarkStart w:id="0" w:name="_GoBack"/>
      <w:bookmarkEnd w:id="0"/>
      <w:r>
        <w:rPr>
          <w:rFonts w:ascii="Palatino Linotype" w:hAnsi="Palatino Linotype"/>
        </w:rPr>
        <w:t>π</w:t>
      </w:r>
      <w:r w:rsidR="00920B3E">
        <w:rPr>
          <w:rFonts w:ascii="Palatino Linotype" w:hAnsi="Palatino Linotype"/>
        </w:rPr>
        <w:t xml:space="preserve">.χ. Θῆκαι ὅσαι ἦσαν τῶν Ἀθηναίων, πάσας ἀνεῖλον </w:t>
      </w:r>
      <w:r w:rsidR="00920B3E" w:rsidRPr="00920B3E">
        <w:rPr>
          <w:rFonts w:ascii="Palatino Linotype" w:hAnsi="Palatino Linotype"/>
        </w:rPr>
        <w:t>οὗτοι</w:t>
      </w:r>
      <w:r w:rsidR="00920B3E">
        <w:rPr>
          <w:rFonts w:ascii="Palatino Linotype" w:hAnsi="Palatino Linotype"/>
        </w:rPr>
        <w:t>.</w:t>
      </w:r>
    </w:p>
    <w:p w:rsidR="00920B3E" w:rsidRPr="00920B3E" w:rsidRDefault="00DF0A0A" w:rsidP="00536BE7">
      <w:pPr>
        <w:jc w:val="both"/>
        <w:rPr>
          <w:rFonts w:ascii="Palatino Linotype" w:hAnsi="Palatino Linotype"/>
        </w:rPr>
      </w:pPr>
      <w:r w:rsidRPr="00DF0A0A">
        <w:rPr>
          <w:rFonts w:ascii="Palatino Linotype" w:hAnsi="Palatino Linotype"/>
        </w:rPr>
        <w:t xml:space="preserve">        </w:t>
      </w:r>
      <w:r w:rsidR="00920B3E">
        <w:rPr>
          <w:rFonts w:ascii="Palatino Linotype" w:hAnsi="Palatino Linotype"/>
        </w:rPr>
        <w:t>Τήν οὐσίαν, ἣν κατέλιπε τῷ υἱεῖ, ἀξία ἐστί δέκα ταλάντων.</w:t>
      </w:r>
    </w:p>
    <w:sectPr w:rsidR="00920B3E" w:rsidRPr="00920B3E" w:rsidSect="00536BE7">
      <w:pgSz w:w="11906" w:h="16838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010C8"/>
    <w:multiLevelType w:val="hybridMultilevel"/>
    <w:tmpl w:val="530A0608"/>
    <w:lvl w:ilvl="0" w:tplc="D2EA1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2"/>
  </w:compat>
  <w:rsids>
    <w:rsidRoot w:val="00B044B6"/>
    <w:rsid w:val="001C31D3"/>
    <w:rsid w:val="00260756"/>
    <w:rsid w:val="0046583F"/>
    <w:rsid w:val="00536BE7"/>
    <w:rsid w:val="008079B6"/>
    <w:rsid w:val="00886173"/>
    <w:rsid w:val="00920B3E"/>
    <w:rsid w:val="00B044B6"/>
    <w:rsid w:val="00B700DF"/>
    <w:rsid w:val="00DF0A0A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44B6"/>
    <w:pPr>
      <w:ind w:left="720"/>
      <w:contextualSpacing/>
    </w:pPr>
  </w:style>
  <w:style w:type="table" w:styleId="-4">
    <w:name w:val="Light Grid Accent 4"/>
    <w:basedOn w:val="a1"/>
    <w:uiPriority w:val="62"/>
    <w:rsid w:val="0046583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9325-248A-43E8-9F21-9854F7F9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ΧΡΥΣΑ</cp:lastModifiedBy>
  <cp:revision>7</cp:revision>
  <cp:lastPrinted>2020-07-09T06:10:00Z</cp:lastPrinted>
  <dcterms:created xsi:type="dcterms:W3CDTF">2018-11-12T05:20:00Z</dcterms:created>
  <dcterms:modified xsi:type="dcterms:W3CDTF">2020-11-27T07:12:00Z</dcterms:modified>
</cp:coreProperties>
</file>