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DA8674">
      <w:pPr>
        <w:spacing w:after="0" w:line="360" w:lineRule="auto"/>
        <w:jc w:val="center"/>
        <w:rPr>
          <w:rFonts w:ascii="Book Antiqua" w:hAnsi="Book Antiqua"/>
          <w:b/>
          <w:sz w:val="24"/>
          <w:szCs w:val="24"/>
        </w:rPr>
      </w:pPr>
      <w:r>
        <w:rPr>
          <w:rFonts w:ascii="Book Antiqua" w:hAnsi="Book Antiqua"/>
          <w:b/>
          <w:sz w:val="24"/>
          <w:szCs w:val="24"/>
        </w:rPr>
        <w:t>ΤΡΟΠΟΙ ΑΝΑΠΤΥΞΗΣ ΠΑΡΑΓΡΑΦΟΥ</w:t>
      </w:r>
    </w:p>
    <w:p w14:paraId="00FD60BC">
      <w:pPr>
        <w:spacing w:after="0" w:line="360" w:lineRule="auto"/>
        <w:jc w:val="both"/>
        <w:rPr>
          <w:rFonts w:ascii="Book Antiqua" w:hAnsi="Book Antiqua"/>
          <w:b/>
          <w:sz w:val="24"/>
          <w:szCs w:val="24"/>
        </w:rPr>
      </w:pPr>
    </w:p>
    <w:p w14:paraId="0595506F">
      <w:pPr>
        <w:pStyle w:val="11"/>
        <w:numPr>
          <w:ilvl w:val="0"/>
          <w:numId w:val="1"/>
        </w:numPr>
        <w:spacing w:after="0" w:line="360" w:lineRule="auto"/>
        <w:jc w:val="center"/>
        <w:rPr>
          <w:rFonts w:ascii="Book Antiqua" w:hAnsi="Book Antiqua"/>
          <w:b/>
          <w:sz w:val="24"/>
          <w:szCs w:val="24"/>
        </w:rPr>
      </w:pPr>
      <w:r>
        <w:rPr>
          <w:rFonts w:ascii="Book Antiqua" w:hAnsi="Book Antiqua"/>
          <w:b/>
          <w:sz w:val="24"/>
          <w:szCs w:val="24"/>
        </w:rPr>
        <w:t>Παραδείγματα</w:t>
      </w:r>
    </w:p>
    <w:p w14:paraId="0A12A315">
      <w:pPr>
        <w:spacing w:after="0" w:line="360" w:lineRule="auto"/>
        <w:jc w:val="both"/>
        <w:rPr>
          <w:rFonts w:ascii="Book Antiqua" w:hAnsi="Book Antiqua"/>
          <w:sz w:val="24"/>
          <w:szCs w:val="24"/>
        </w:rPr>
      </w:pPr>
      <w:r>
        <w:rPr>
          <w:rFonts w:ascii="Book Antiqua" w:hAnsi="Book Antiqua"/>
          <w:sz w:val="24"/>
          <w:szCs w:val="24"/>
        </w:rPr>
        <w:t xml:space="preserve">Τα παραδείγματα λαμβάνονται από την </w:t>
      </w:r>
      <w:r>
        <w:rPr>
          <w:rFonts w:ascii="Book Antiqua" w:hAnsi="Book Antiqua"/>
          <w:sz w:val="24"/>
          <w:szCs w:val="24"/>
          <w:u w:val="single"/>
        </w:rPr>
        <w:t>καθημερινή ζωή, την προσωπική εμπειρία ή την ιστορία</w:t>
      </w:r>
      <w:r>
        <w:rPr>
          <w:rFonts w:ascii="Book Antiqua" w:hAnsi="Book Antiqua"/>
          <w:sz w:val="24"/>
          <w:szCs w:val="24"/>
        </w:rPr>
        <w:t>.</w:t>
      </w:r>
    </w:p>
    <w:p w14:paraId="623B44FC">
      <w:pPr>
        <w:spacing w:after="0" w:line="360" w:lineRule="auto"/>
        <w:jc w:val="both"/>
        <w:rPr>
          <w:rFonts w:ascii="Book Antiqua" w:hAnsi="Book Antiqua"/>
          <w:sz w:val="24"/>
          <w:szCs w:val="24"/>
        </w:rPr>
      </w:pPr>
      <w:r>
        <w:rPr>
          <w:rFonts w:ascii="Book Antiqua" w:hAnsi="Book Antiqua" w:eastAsia="Times New Roman" w:cs="Times New Roman"/>
          <w:b/>
          <w:bCs/>
          <w:color w:val="111111"/>
          <w:sz w:val="24"/>
          <w:szCs w:val="24"/>
          <w:lang w:eastAsia="el-GR"/>
        </w:rPr>
        <w:t>Πώς ο τρόπος ανάπτυξης των παραδειγμάτων υπηρετεί την πρόθεση του γράφοντος</w:t>
      </w:r>
      <w:r>
        <w:rPr>
          <w:rFonts w:ascii="Book Antiqua" w:hAnsi="Book Antiqua" w:eastAsia="Times New Roman" w:cs="Times New Roman"/>
          <w:b/>
          <w:bCs/>
          <w:color w:val="111111"/>
          <w:sz w:val="24"/>
          <w:szCs w:val="24"/>
          <w:lang w:eastAsia="el-GR"/>
        </w:rPr>
        <w:br w:type="textWrapping"/>
      </w:r>
      <w:r>
        <w:rPr>
          <w:rFonts w:ascii="Book Antiqua" w:hAnsi="Book Antiqua"/>
          <w:sz w:val="24"/>
          <w:szCs w:val="24"/>
        </w:rPr>
        <w:t xml:space="preserve"> Μέσω των παραδειγμάτων ο κειμενογράφος επιτυγχάνει να αποσαφηνίσει και να τεκμηριώσει την άποψή του. Η θέση του γίνεται εύληπτη και κατανοητή και ο λόγος του πειστικός. Ταυτόχρονα, ο λόγος αποκτά ζωντάνια, αμεσότητα και παραστατικότητα και έτσι διεγείρεται το ενδιαφέρον του αναγνώστη. Επιπλέον, το ύφος καθίσταται απλό και οικείο.</w:t>
      </w:r>
    </w:p>
    <w:p w14:paraId="0F2E8624">
      <w:pPr>
        <w:spacing w:after="0" w:line="360" w:lineRule="auto"/>
        <w:jc w:val="both"/>
        <w:rPr>
          <w:rFonts w:ascii="Book Antiqua" w:hAnsi="Book Antiqua"/>
          <w:sz w:val="24"/>
          <w:szCs w:val="24"/>
        </w:rPr>
      </w:pPr>
      <w:r>
        <w:rPr>
          <w:rFonts w:ascii="Book Antiqua" w:hAnsi="Book Antiqua"/>
          <w:b/>
          <w:sz w:val="24"/>
          <w:szCs w:val="24"/>
        </w:rPr>
        <w:t>Ενδεικτικές λέξεις/φράσεις</w:t>
      </w:r>
      <w:r>
        <w:rPr>
          <w:rFonts w:ascii="Book Antiqua" w:hAnsi="Book Antiqua"/>
          <w:sz w:val="24"/>
          <w:szCs w:val="24"/>
        </w:rPr>
        <w:t>:   Για παράδειγμα», παράδειγμα, παραδείγματος χάρη, λόχου χάρη, κ.λ.π. που δηλώνει παράδειγμα.</w:t>
      </w:r>
    </w:p>
    <w:p w14:paraId="0A11D6DA">
      <w:pPr>
        <w:pStyle w:val="11"/>
        <w:numPr>
          <w:ilvl w:val="0"/>
          <w:numId w:val="1"/>
        </w:numPr>
        <w:jc w:val="center"/>
        <w:rPr>
          <w:rFonts w:ascii="Book Antiqua" w:hAnsi="Book Antiqua"/>
          <w:b/>
          <w:sz w:val="24"/>
          <w:szCs w:val="24"/>
          <w:lang w:eastAsia="el-GR"/>
        </w:rPr>
      </w:pPr>
      <w:r>
        <w:rPr>
          <w:rFonts w:ascii="Book Antiqua" w:hAnsi="Book Antiqua"/>
          <w:b/>
          <w:sz w:val="24"/>
          <w:szCs w:val="24"/>
          <w:lang w:eastAsia="el-GR"/>
        </w:rPr>
        <w:t>Σύγκριση και αντίθεση</w:t>
      </w:r>
    </w:p>
    <w:p w14:paraId="07EB50AC">
      <w:pPr>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color w:val="111111"/>
          <w:sz w:val="24"/>
          <w:szCs w:val="24"/>
          <w:lang w:eastAsia="el-GR"/>
        </w:rPr>
        <w:t>Όταν παράγραφος παρουσιάζει δύο αντιθετικά μεταξύ τους δεδομένα, αναπτύσσεται με </w:t>
      </w:r>
      <w:r>
        <w:rPr>
          <w:rFonts w:ascii="Book Antiqua" w:hAnsi="Book Antiqua" w:eastAsia="Times New Roman" w:cs="Times New Roman"/>
          <w:bCs/>
          <w:color w:val="111111"/>
          <w:sz w:val="24"/>
          <w:szCs w:val="24"/>
          <w:lang w:eastAsia="el-GR"/>
        </w:rPr>
        <w:t>σύγκριση-αντίθεση</w:t>
      </w:r>
      <w:r>
        <w:rPr>
          <w:rFonts w:ascii="Book Antiqua" w:hAnsi="Book Antiqua" w:eastAsia="Times New Roman" w:cs="Times New Roman"/>
          <w:color w:val="111111"/>
          <w:sz w:val="24"/>
          <w:szCs w:val="24"/>
          <w:lang w:eastAsia="el-GR"/>
        </w:rPr>
        <w:t>. Ανάλογα με τη μορφή της σύγκρισης έχουμε:</w:t>
      </w:r>
    </w:p>
    <w:p w14:paraId="76913EE3">
      <w:pPr>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bCs/>
          <w:color w:val="111111"/>
          <w:sz w:val="24"/>
          <w:szCs w:val="24"/>
          <w:lang w:eastAsia="el-GR"/>
        </w:rPr>
        <w:t>α.</w:t>
      </w:r>
      <w:r>
        <w:rPr>
          <w:rFonts w:ascii="Book Antiqua" w:hAnsi="Book Antiqua" w:eastAsia="Times New Roman" w:cs="Times New Roman"/>
          <w:color w:val="111111"/>
          <w:sz w:val="24"/>
          <w:szCs w:val="24"/>
          <w:lang w:eastAsia="el-GR"/>
        </w:rPr>
        <w:t> </w:t>
      </w:r>
      <w:r>
        <w:rPr>
          <w:rFonts w:ascii="Book Antiqua" w:hAnsi="Book Antiqua" w:eastAsia="Times New Roman" w:cs="Times New Roman"/>
          <w:bCs/>
          <w:color w:val="111111"/>
          <w:sz w:val="24"/>
          <w:szCs w:val="24"/>
          <w:lang w:eastAsia="el-GR"/>
        </w:rPr>
        <w:t>Αντίθεση</w:t>
      </w:r>
      <w:r>
        <w:rPr>
          <w:rFonts w:ascii="Book Antiqua" w:hAnsi="Book Antiqua" w:eastAsia="Times New Roman" w:cs="Times New Roman"/>
          <w:color w:val="111111"/>
          <w:sz w:val="24"/>
          <w:szCs w:val="24"/>
          <w:lang w:eastAsia="el-GR"/>
        </w:rPr>
        <w:t>: Αντιπαραβολή των συγκρινόμενων και παρουσίαση των </w:t>
      </w:r>
      <w:r>
        <w:rPr>
          <w:rFonts w:ascii="Book Antiqua" w:hAnsi="Book Antiqua" w:eastAsia="Times New Roman" w:cs="Times New Roman"/>
          <w:bCs/>
          <w:color w:val="111111"/>
          <w:sz w:val="24"/>
          <w:szCs w:val="24"/>
          <w:lang w:eastAsia="el-GR"/>
        </w:rPr>
        <w:t>διαφορών</w:t>
      </w:r>
      <w:r>
        <w:rPr>
          <w:rFonts w:ascii="Book Antiqua" w:hAnsi="Book Antiqua" w:eastAsia="Times New Roman" w:cs="Times New Roman"/>
          <w:color w:val="111111"/>
          <w:sz w:val="24"/>
          <w:szCs w:val="24"/>
          <w:lang w:eastAsia="el-GR"/>
        </w:rPr>
        <w:t> τους.</w:t>
      </w:r>
    </w:p>
    <w:p w14:paraId="0FEC9D12">
      <w:pPr>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bCs/>
          <w:color w:val="111111"/>
          <w:sz w:val="24"/>
          <w:szCs w:val="24"/>
          <w:lang w:eastAsia="el-GR"/>
        </w:rPr>
        <w:t>β.</w:t>
      </w:r>
      <w:r>
        <w:rPr>
          <w:rFonts w:ascii="Book Antiqua" w:hAnsi="Book Antiqua" w:eastAsia="Times New Roman" w:cs="Times New Roman"/>
          <w:color w:val="111111"/>
          <w:sz w:val="24"/>
          <w:szCs w:val="24"/>
          <w:lang w:eastAsia="el-GR"/>
        </w:rPr>
        <w:t> </w:t>
      </w:r>
      <w:r>
        <w:rPr>
          <w:rFonts w:ascii="Book Antiqua" w:hAnsi="Book Antiqua" w:eastAsia="Times New Roman" w:cs="Times New Roman"/>
          <w:bCs/>
          <w:color w:val="111111"/>
          <w:sz w:val="24"/>
          <w:szCs w:val="24"/>
          <w:lang w:eastAsia="el-GR"/>
        </w:rPr>
        <w:t>Σύγκριση</w:t>
      </w:r>
      <w:r>
        <w:rPr>
          <w:rFonts w:ascii="Book Antiqua" w:hAnsi="Book Antiqua" w:eastAsia="Times New Roman" w:cs="Times New Roman"/>
          <w:color w:val="111111"/>
          <w:sz w:val="24"/>
          <w:szCs w:val="24"/>
          <w:lang w:eastAsia="el-GR"/>
        </w:rPr>
        <w:t>: Παρουσίαση των συγκρινόμενων και επισήμανση όχι μόνο των </w:t>
      </w:r>
      <w:r>
        <w:rPr>
          <w:rFonts w:ascii="Book Antiqua" w:hAnsi="Book Antiqua" w:eastAsia="Times New Roman" w:cs="Times New Roman"/>
          <w:bCs/>
          <w:color w:val="111111"/>
          <w:sz w:val="24"/>
          <w:szCs w:val="24"/>
          <w:lang w:eastAsia="el-GR"/>
        </w:rPr>
        <w:t>ομοιοτήτων</w:t>
      </w:r>
      <w:r>
        <w:rPr>
          <w:rFonts w:ascii="Book Antiqua" w:hAnsi="Book Antiqua" w:eastAsia="Times New Roman" w:cs="Times New Roman"/>
          <w:color w:val="111111"/>
          <w:sz w:val="24"/>
          <w:szCs w:val="24"/>
          <w:lang w:eastAsia="el-GR"/>
        </w:rPr>
        <w:t> αλλά και των </w:t>
      </w:r>
      <w:r>
        <w:rPr>
          <w:rFonts w:ascii="Book Antiqua" w:hAnsi="Book Antiqua" w:eastAsia="Times New Roman" w:cs="Times New Roman"/>
          <w:bCs/>
          <w:color w:val="111111"/>
          <w:sz w:val="24"/>
          <w:szCs w:val="24"/>
          <w:lang w:eastAsia="el-GR"/>
        </w:rPr>
        <w:t>διαφορών</w:t>
      </w:r>
      <w:r>
        <w:rPr>
          <w:rFonts w:ascii="Book Antiqua" w:hAnsi="Book Antiqua" w:eastAsia="Times New Roman" w:cs="Times New Roman"/>
          <w:color w:val="111111"/>
          <w:sz w:val="24"/>
          <w:szCs w:val="24"/>
          <w:lang w:eastAsia="el-GR"/>
        </w:rPr>
        <w:t> τους.</w:t>
      </w:r>
    </w:p>
    <w:p w14:paraId="5DC8D042">
      <w:pPr>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bCs/>
          <w:color w:val="111111"/>
          <w:sz w:val="24"/>
          <w:szCs w:val="24"/>
          <w:lang w:eastAsia="el-GR"/>
        </w:rPr>
        <w:t>Ως τρόπος ανάπτυξης παραγράφου ενδέχεται να έχει τους εξής τρόπους:</w:t>
      </w:r>
    </w:p>
    <w:p w14:paraId="31AA7974">
      <w:pPr>
        <w:numPr>
          <w:ilvl w:val="0"/>
          <w:numId w:val="2"/>
        </w:numPr>
        <w:spacing w:after="0" w:line="360" w:lineRule="auto"/>
        <w:ind w:left="195"/>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color w:val="111111"/>
          <w:sz w:val="24"/>
          <w:szCs w:val="24"/>
          <w:lang w:eastAsia="el-GR"/>
        </w:rPr>
        <w:t>Με παρουσίαση όλων των ιδιοτήτων / γνωρισμάτων του ενός μέλους και στη συνέχεια του άλλου.</w:t>
      </w:r>
    </w:p>
    <w:p w14:paraId="1D331A19">
      <w:pPr>
        <w:numPr>
          <w:ilvl w:val="0"/>
          <w:numId w:val="2"/>
        </w:numPr>
        <w:spacing w:after="0" w:line="360" w:lineRule="auto"/>
        <w:ind w:left="195"/>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color w:val="111111"/>
          <w:sz w:val="24"/>
          <w:szCs w:val="24"/>
          <w:lang w:eastAsia="el-GR"/>
        </w:rPr>
        <w:t>Με παρουσίαση σημείο προς σημείο των ομοιοτήτων και των διαφορών των συγκρινόμενων μελών.</w:t>
      </w:r>
    </w:p>
    <w:p w14:paraId="58CFE062">
      <w:pPr>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bCs/>
          <w:color w:val="111111"/>
          <w:sz w:val="24"/>
          <w:szCs w:val="24"/>
          <w:u w:val="single"/>
          <w:lang w:eastAsia="el-GR"/>
        </w:rPr>
        <w:t>Ενδεικτικές λέξεις</w:t>
      </w:r>
      <w:r>
        <w:rPr>
          <w:rFonts w:ascii="Book Antiqua" w:hAnsi="Book Antiqua" w:eastAsia="Times New Roman" w:cs="Times New Roman"/>
          <w:bCs/>
          <w:color w:val="111111"/>
          <w:sz w:val="24"/>
          <w:szCs w:val="24"/>
          <w:lang w:eastAsia="el-GR"/>
        </w:rPr>
        <w:t>:</w:t>
      </w:r>
      <w:r>
        <w:rPr>
          <w:rFonts w:ascii="Book Antiqua" w:hAnsi="Book Antiqua" w:eastAsia="Times New Roman" w:cs="Times New Roman"/>
          <w:color w:val="111111"/>
          <w:sz w:val="24"/>
          <w:szCs w:val="24"/>
          <w:lang w:eastAsia="el-GR"/>
        </w:rPr>
        <w:t> συγκριτικά, εντούτοις, αλλά, όμως, μολονότι, ωστόσο, εξάλλου, παρόμοια.</w:t>
      </w:r>
    </w:p>
    <w:p w14:paraId="26D98918">
      <w:pPr>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b/>
          <w:bCs/>
          <w:color w:val="111111"/>
          <w:sz w:val="24"/>
          <w:szCs w:val="24"/>
          <w:lang w:eastAsia="el-GR"/>
        </w:rPr>
        <w:t>Πώς ο τρόπος ανάπτυξης της σύγκρισης - αντίθεσης υπηρετεί την πρόθεση του γράφοντος</w:t>
      </w:r>
      <w:r>
        <w:rPr>
          <w:rFonts w:ascii="Book Antiqua" w:hAnsi="Book Antiqua" w:eastAsia="Times New Roman" w:cs="Times New Roman"/>
          <w:b/>
          <w:bCs/>
          <w:color w:val="111111"/>
          <w:sz w:val="24"/>
          <w:szCs w:val="24"/>
          <w:lang w:eastAsia="el-GR"/>
        </w:rPr>
        <w:br w:type="textWrapping"/>
      </w:r>
      <w:r>
        <w:rPr>
          <w:rFonts w:ascii="Book Antiqua" w:hAnsi="Book Antiqua" w:eastAsia="Times New Roman" w:cs="Times New Roman"/>
          <w:b/>
          <w:bCs/>
          <w:color w:val="111111"/>
          <w:sz w:val="24"/>
          <w:szCs w:val="24"/>
          <w:lang w:eastAsia="el-GR"/>
        </w:rPr>
        <w:t>α</w:t>
      </w:r>
      <w:r>
        <w:rPr>
          <w:rFonts w:ascii="Book Antiqua" w:hAnsi="Book Antiqua" w:eastAsia="Times New Roman" w:cs="Times New Roman"/>
          <w:color w:val="111111"/>
          <w:sz w:val="24"/>
          <w:szCs w:val="24"/>
          <w:lang w:eastAsia="el-GR"/>
        </w:rPr>
        <w:t xml:space="preserve">) Ο κειμενογράφος αξιοποιεί τη σύγκριση – αντίθεση προκειμένου </w:t>
      </w:r>
      <w:r>
        <w:rPr>
          <w:rFonts w:ascii="Book Antiqua" w:hAnsi="Book Antiqua" w:eastAsia="Times New Roman" w:cs="Times New Roman"/>
          <w:color w:val="111111"/>
          <w:sz w:val="24"/>
          <w:szCs w:val="24"/>
          <w:u w:val="single"/>
          <w:lang w:eastAsia="el-GR"/>
        </w:rPr>
        <w:t>να αναδείξει τις διαφορές</w:t>
      </w:r>
      <w:r>
        <w:rPr>
          <w:rFonts w:ascii="Book Antiqua" w:hAnsi="Book Antiqua" w:eastAsia="Times New Roman" w:cs="Times New Roman"/>
          <w:color w:val="111111"/>
          <w:sz w:val="24"/>
          <w:szCs w:val="24"/>
          <w:lang w:eastAsia="el-GR"/>
        </w:rPr>
        <w:t xml:space="preserve"> που υπάρχουν ανάμεσα σε δύο έννοιες (αντιλήψεις, τρόπους συμπεριφοράς, χρονικές περιόδους, γραμματικοσυντακτικά φαινόμενα κ.ά.) και έτσι </w:t>
      </w:r>
      <w:r>
        <w:rPr>
          <w:rFonts w:ascii="Book Antiqua" w:hAnsi="Book Antiqua" w:eastAsia="Times New Roman" w:cs="Times New Roman"/>
          <w:color w:val="111111"/>
          <w:sz w:val="24"/>
          <w:szCs w:val="24"/>
          <w:u w:val="single"/>
          <w:lang w:eastAsia="el-GR"/>
        </w:rPr>
        <w:t>να αποσαφηνίσει το περιεχόμενο</w:t>
      </w:r>
      <w:r>
        <w:rPr>
          <w:rFonts w:ascii="Book Antiqua" w:hAnsi="Book Antiqua" w:eastAsia="Times New Roman" w:cs="Times New Roman"/>
          <w:color w:val="111111"/>
          <w:sz w:val="24"/>
          <w:szCs w:val="24"/>
          <w:lang w:eastAsia="el-GR"/>
        </w:rPr>
        <w:t xml:space="preserve"> των δύο εννοιών.</w:t>
      </w:r>
    </w:p>
    <w:p w14:paraId="04D7A622">
      <w:pPr>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b/>
          <w:bCs/>
          <w:color w:val="111111"/>
          <w:sz w:val="24"/>
          <w:szCs w:val="24"/>
          <w:lang w:eastAsia="el-GR"/>
        </w:rPr>
        <w:t>β</w:t>
      </w:r>
      <w:r>
        <w:rPr>
          <w:rFonts w:ascii="Book Antiqua" w:hAnsi="Book Antiqua" w:eastAsia="Times New Roman" w:cs="Times New Roman"/>
          <w:color w:val="111111"/>
          <w:sz w:val="24"/>
          <w:szCs w:val="24"/>
          <w:lang w:eastAsia="el-GR"/>
        </w:rPr>
        <w:t>)</w:t>
      </w:r>
      <w:r>
        <w:rPr>
          <w:rFonts w:ascii="Book Antiqua" w:hAnsi="Book Antiqua" w:eastAsia="Times New Roman" w:cs="Times New Roman"/>
          <w:color w:val="111111"/>
          <w:sz w:val="24"/>
          <w:szCs w:val="24"/>
          <w:u w:val="single"/>
          <w:lang w:eastAsia="el-GR"/>
        </w:rPr>
        <w:t xml:space="preserve"> Σε κάποιες περιπτώσεις αναδεικνύεται η σπουδαιότητα ενός όρου μέσω της αντιπαράθεσής του με άλλους</w:t>
      </w:r>
      <w:r>
        <w:rPr>
          <w:rFonts w:ascii="Book Antiqua" w:hAnsi="Book Antiqua" w:eastAsia="Times New Roman" w:cs="Times New Roman"/>
          <w:color w:val="111111"/>
          <w:sz w:val="24"/>
          <w:szCs w:val="24"/>
          <w:lang w:eastAsia="el-GR"/>
        </w:rPr>
        <w:t xml:space="preserve"> (π.χ. σύγχρονη εποχή-παρελθόν, σύγχρονοι-παραδοσιακοί πολιτισμοί/κράτη)  με στόχο ο κειμενογράφος </w:t>
      </w:r>
      <w:r>
        <w:rPr>
          <w:rFonts w:ascii="Book Antiqua" w:hAnsi="Book Antiqua" w:eastAsia="Times New Roman" w:cs="Times New Roman"/>
          <w:color w:val="111111"/>
          <w:sz w:val="24"/>
          <w:szCs w:val="24"/>
          <w:u w:val="single"/>
          <w:lang w:eastAsia="el-GR"/>
        </w:rPr>
        <w:t>να ευαισθητοποιήσει και να προβληματίσει</w:t>
      </w:r>
      <w:r>
        <w:rPr>
          <w:rFonts w:ascii="Book Antiqua" w:hAnsi="Book Antiqua" w:eastAsia="Times New Roman" w:cs="Times New Roman"/>
          <w:color w:val="111111"/>
          <w:sz w:val="24"/>
          <w:szCs w:val="24"/>
          <w:lang w:eastAsia="el-GR"/>
        </w:rPr>
        <w:t xml:space="preserve"> τον αναγνώστη.</w:t>
      </w:r>
    </w:p>
    <w:p w14:paraId="456E2990">
      <w:pPr>
        <w:spacing w:after="0" w:line="360" w:lineRule="auto"/>
        <w:jc w:val="both"/>
        <w:rPr>
          <w:rFonts w:ascii="Book Antiqua" w:hAnsi="Book Antiqua" w:eastAsia="Times New Roman" w:cs="Times New Roman"/>
          <w:color w:val="111111"/>
          <w:sz w:val="24"/>
          <w:szCs w:val="24"/>
          <w:lang w:eastAsia="el-GR"/>
        </w:rPr>
      </w:pPr>
    </w:p>
    <w:p w14:paraId="7B1530A5">
      <w:pPr>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b/>
          <w:color w:val="111111"/>
          <w:sz w:val="24"/>
          <w:szCs w:val="24"/>
          <w:lang w:eastAsia="el-GR"/>
        </w:rPr>
        <w:t xml:space="preserve">γ) </w:t>
      </w:r>
      <w:r>
        <w:rPr>
          <w:rFonts w:ascii="Book Antiqua" w:hAnsi="Book Antiqua" w:eastAsia="Times New Roman" w:cs="Times New Roman"/>
          <w:color w:val="111111"/>
          <w:sz w:val="24"/>
          <w:szCs w:val="24"/>
          <w:lang w:eastAsia="el-GR"/>
        </w:rPr>
        <w:t xml:space="preserve"> Ο κειμενογράφος μπορεί να παρουσιάζει τα θετικά και τα αρνητικά ενός φαινομένου ώστε να </w:t>
      </w:r>
      <w:r>
        <w:rPr>
          <w:rFonts w:ascii="Book Antiqua" w:hAnsi="Book Antiqua" w:eastAsia="Times New Roman" w:cs="Times New Roman"/>
          <w:color w:val="111111"/>
          <w:sz w:val="24"/>
          <w:szCs w:val="24"/>
          <w:u w:val="single"/>
          <w:lang w:eastAsia="el-GR"/>
        </w:rPr>
        <w:t>αποδείξει</w:t>
      </w:r>
      <w:r>
        <w:rPr>
          <w:rFonts w:ascii="Book Antiqua" w:hAnsi="Book Antiqua" w:eastAsia="Times New Roman" w:cs="Times New Roman"/>
          <w:color w:val="111111"/>
          <w:sz w:val="24"/>
          <w:szCs w:val="24"/>
          <w:lang w:eastAsia="el-GR"/>
        </w:rPr>
        <w:t xml:space="preserve"> τις αντίθετες λειτουργίες της συγκεκριμένης έννοιας (π.χ. πλεονεκτήματα και μειονεκτήματα διαδικτύου).</w:t>
      </w:r>
    </w:p>
    <w:p w14:paraId="3310642C">
      <w:pPr>
        <w:spacing w:after="0" w:line="360" w:lineRule="auto"/>
        <w:jc w:val="both"/>
        <w:rPr>
          <w:rFonts w:ascii="Book Antiqua" w:hAnsi="Book Antiqua" w:eastAsia="Times New Roman" w:cs="Times New Roman"/>
          <w:color w:val="111111"/>
          <w:sz w:val="24"/>
          <w:szCs w:val="24"/>
          <w:lang w:eastAsia="el-GR"/>
        </w:rPr>
      </w:pPr>
    </w:p>
    <w:p w14:paraId="4CCBFBAC">
      <w:pPr>
        <w:pStyle w:val="11"/>
        <w:numPr>
          <w:ilvl w:val="0"/>
          <w:numId w:val="2"/>
        </w:numPr>
        <w:spacing w:after="0" w:line="360" w:lineRule="auto"/>
        <w:jc w:val="center"/>
        <w:rPr>
          <w:rFonts w:ascii="Book Antiqua" w:hAnsi="Book Antiqua" w:eastAsia="Times New Roman" w:cs="Times New Roman"/>
          <w:b/>
          <w:color w:val="111111"/>
          <w:sz w:val="24"/>
          <w:szCs w:val="24"/>
          <w:lang w:eastAsia="el-GR"/>
        </w:rPr>
      </w:pPr>
      <w:r>
        <w:rPr>
          <w:rFonts w:ascii="Book Antiqua" w:hAnsi="Book Antiqua" w:eastAsia="Times New Roman" w:cs="Times New Roman"/>
          <w:b/>
          <w:color w:val="111111"/>
          <w:sz w:val="24"/>
          <w:szCs w:val="24"/>
          <w:lang w:eastAsia="el-GR"/>
        </w:rPr>
        <w:t>Αιτιολόγηση</w:t>
      </w:r>
    </w:p>
    <w:p w14:paraId="7B0BFB20">
      <w:pPr>
        <w:pStyle w:val="8"/>
        <w:shd w:val="clear" w:color="auto" w:fill="FFFFFF"/>
        <w:spacing w:before="0" w:beforeAutospacing="0" w:after="0" w:afterAutospacing="0" w:line="360" w:lineRule="auto"/>
        <w:jc w:val="both"/>
        <w:rPr>
          <w:rFonts w:ascii="Book Antiqua" w:hAnsi="Book Antiqua"/>
          <w:color w:val="111111"/>
        </w:rPr>
      </w:pPr>
      <w:r>
        <w:rPr>
          <w:rFonts w:ascii="Book Antiqua" w:hAnsi="Book Antiqua"/>
          <w:color w:val="111111"/>
        </w:rPr>
        <w:t>Πολλές φορές οι θεματικές περίοδοι είναι κρίσεως και χρειάζεται να αποδειχτεί η ισχύς τους με </w:t>
      </w:r>
      <w:r>
        <w:rPr>
          <w:rStyle w:val="9"/>
          <w:rFonts w:ascii="Book Antiqua" w:hAnsi="Book Antiqua"/>
          <w:b w:val="0"/>
          <w:color w:val="111111"/>
        </w:rPr>
        <w:t>αιτιολόγηση</w:t>
      </w:r>
      <w:r>
        <w:rPr>
          <w:rFonts w:ascii="Book Antiqua" w:hAnsi="Book Antiqua"/>
          <w:color w:val="111111"/>
        </w:rPr>
        <w:t> στηριζόμενη σε επιχειρήματα αξιόπιστα και λογικά. Στην περίπτωση αυτή η θεματική περίοδος μας παρακινεί να ρωτήσουμε: «ΓΙΑΤΙ;» Τότε είναι απαραίτητη η </w:t>
      </w:r>
      <w:r>
        <w:rPr>
          <w:rStyle w:val="9"/>
          <w:rFonts w:ascii="Book Antiqua" w:hAnsi="Book Antiqua"/>
          <w:b w:val="0"/>
          <w:color w:val="111111"/>
        </w:rPr>
        <w:t>αιτιολόγηση</w:t>
      </w:r>
      <w:r>
        <w:rPr>
          <w:rFonts w:ascii="Book Antiqua" w:hAnsi="Book Antiqua"/>
          <w:color w:val="111111"/>
        </w:rPr>
        <w:t> της θέσης αυτής. Αυτή οργανώνεται με διάφορους τρόπους, όπως με αιτιολογικές προτάσεις και μετοχές, καθώς και με ανάλογα εκφραστικά μέσα.</w:t>
      </w:r>
    </w:p>
    <w:p w14:paraId="2A65F700">
      <w:pPr>
        <w:pStyle w:val="8"/>
        <w:shd w:val="clear" w:color="auto" w:fill="FFFFFF"/>
        <w:spacing w:before="0" w:beforeAutospacing="0" w:after="0" w:afterAutospacing="0" w:line="360" w:lineRule="auto"/>
        <w:jc w:val="both"/>
        <w:rPr>
          <w:rFonts w:ascii="Book Antiqua" w:hAnsi="Book Antiqua"/>
          <w:color w:val="111111"/>
        </w:rPr>
      </w:pPr>
      <w:r>
        <w:rPr>
          <w:rStyle w:val="9"/>
          <w:rFonts w:ascii="Book Antiqua" w:hAnsi="Book Antiqua"/>
          <w:b w:val="0"/>
          <w:color w:val="111111"/>
          <w:u w:val="single"/>
        </w:rPr>
        <w:t>Ενδεικτικές λέξεις</w:t>
      </w:r>
      <w:r>
        <w:rPr>
          <w:rStyle w:val="9"/>
          <w:rFonts w:ascii="Book Antiqua" w:hAnsi="Book Antiqua"/>
          <w:b w:val="0"/>
          <w:color w:val="111111"/>
        </w:rPr>
        <w:t>:</w:t>
      </w:r>
      <w:r>
        <w:rPr>
          <w:rFonts w:ascii="Book Antiqua" w:hAnsi="Book Antiqua"/>
          <w:color w:val="111111"/>
        </w:rPr>
        <w:t> επειδή, γιατί, διότι.</w:t>
      </w:r>
    </w:p>
    <w:p w14:paraId="5BEAE6B5">
      <w:pPr>
        <w:pStyle w:val="8"/>
        <w:shd w:val="clear" w:color="auto" w:fill="FFFFFF"/>
        <w:spacing w:before="0" w:beforeAutospacing="0" w:after="0" w:afterAutospacing="0" w:line="360" w:lineRule="auto"/>
        <w:jc w:val="both"/>
        <w:rPr>
          <w:rFonts w:ascii="Book Antiqua" w:hAnsi="Book Antiqua"/>
          <w:color w:val="111111"/>
          <w:shd w:val="clear" w:color="auto" w:fill="FFFFFF"/>
        </w:rPr>
      </w:pPr>
      <w:r>
        <w:rPr>
          <w:rFonts w:ascii="Book Antiqua" w:hAnsi="Book Antiqua"/>
          <w:b/>
          <w:bCs/>
          <w:color w:val="111111"/>
        </w:rPr>
        <w:t>Πώς ο τρόπος ανάπτυξης της αιτιολόγησης υπηρετεί την πρόθεση του γράφοντος</w:t>
      </w:r>
      <w:r>
        <w:rPr>
          <w:rFonts w:ascii="Book Antiqua" w:hAnsi="Book Antiqua"/>
          <w:b/>
          <w:bCs/>
          <w:color w:val="111111"/>
        </w:rPr>
        <w:br w:type="textWrapping"/>
      </w:r>
      <w:r>
        <w:rPr>
          <w:rFonts w:ascii="Book Antiqua" w:hAnsi="Book Antiqua"/>
          <w:color w:val="111111"/>
          <w:shd w:val="clear" w:color="auto" w:fill="FFFFFF"/>
        </w:rPr>
        <w:t xml:space="preserve">Πρόθεση του συγγραφέα είναι </w:t>
      </w:r>
      <w:r>
        <w:rPr>
          <w:rFonts w:ascii="Book Antiqua" w:hAnsi="Book Antiqua"/>
          <w:color w:val="111111"/>
          <w:u w:val="single"/>
          <w:shd w:val="clear" w:color="auto" w:fill="FFFFFF"/>
        </w:rPr>
        <w:t>να αποδείξει</w:t>
      </w:r>
      <w:r>
        <w:rPr>
          <w:rFonts w:ascii="Book Antiqua" w:hAnsi="Book Antiqua"/>
          <w:color w:val="111111"/>
          <w:shd w:val="clear" w:color="auto" w:fill="FFFFFF"/>
        </w:rPr>
        <w:t xml:space="preserve"> έναν ισχυρισμό </w:t>
      </w:r>
      <w:r>
        <w:rPr>
          <w:rFonts w:ascii="Book Antiqua" w:hAnsi="Book Antiqua"/>
          <w:color w:val="111111"/>
          <w:u w:val="single"/>
          <w:shd w:val="clear" w:color="auto" w:fill="FFFFFF"/>
        </w:rPr>
        <w:t>να πείσει</w:t>
      </w:r>
      <w:r>
        <w:rPr>
          <w:rFonts w:ascii="Book Antiqua" w:hAnsi="Book Antiqua"/>
          <w:color w:val="111111"/>
          <w:shd w:val="clear" w:color="auto" w:fill="FFFFFF"/>
        </w:rPr>
        <w:t xml:space="preserve"> τον αναγνώστη για την ορθότητά του, μέσα από επιχειρήματα/στατιστικά στοιχεία/πορίσματα ερευνών/αυτούσια παράθεση των λόγων κάποιου ειδικού (επίκληση στην αυθεντία).  Με τη χρήση της αιτιολόγησης γίνεται </w:t>
      </w:r>
      <w:r>
        <w:rPr>
          <w:rFonts w:ascii="Book Antiqua" w:hAnsi="Book Antiqua"/>
          <w:color w:val="111111"/>
          <w:u w:val="single"/>
          <w:shd w:val="clear" w:color="auto" w:fill="FFFFFF"/>
        </w:rPr>
        <w:t>σαφής και κατανοητή η θέση του συγγραφέα</w:t>
      </w:r>
      <w:r>
        <w:rPr>
          <w:rFonts w:ascii="Book Antiqua" w:hAnsi="Book Antiqua"/>
          <w:color w:val="111111"/>
          <w:shd w:val="clear" w:color="auto" w:fill="FFFFFF"/>
        </w:rPr>
        <w:t xml:space="preserve"> που υποστηρίζεται από ισχυρά επιχειρήματα προσδίδοντας </w:t>
      </w:r>
      <w:r>
        <w:rPr>
          <w:rFonts w:ascii="Book Antiqua" w:hAnsi="Book Antiqua"/>
          <w:color w:val="111111"/>
          <w:u w:val="single"/>
          <w:shd w:val="clear" w:color="auto" w:fill="FFFFFF"/>
        </w:rPr>
        <w:t>αξιοπιστία, αντικειμενικότητα και εγκυρότητα</w:t>
      </w:r>
      <w:r>
        <w:rPr>
          <w:rFonts w:ascii="Book Antiqua" w:hAnsi="Book Antiqua"/>
          <w:color w:val="111111"/>
          <w:shd w:val="clear" w:color="auto" w:fill="FFFFFF"/>
        </w:rPr>
        <w:t>.</w:t>
      </w:r>
    </w:p>
    <w:p w14:paraId="5AB6BAC1">
      <w:pPr>
        <w:pStyle w:val="8"/>
        <w:shd w:val="clear" w:color="auto" w:fill="FFFFFF"/>
        <w:spacing w:before="0" w:beforeAutospacing="0" w:after="0" w:afterAutospacing="0" w:line="360" w:lineRule="auto"/>
        <w:jc w:val="both"/>
        <w:rPr>
          <w:rFonts w:ascii="Book Antiqua" w:hAnsi="Book Antiqua"/>
          <w:color w:val="111111"/>
        </w:rPr>
      </w:pPr>
    </w:p>
    <w:p w14:paraId="0E715E05">
      <w:pPr>
        <w:pStyle w:val="11"/>
        <w:numPr>
          <w:ilvl w:val="0"/>
          <w:numId w:val="2"/>
        </w:numPr>
        <w:shd w:val="clear" w:color="auto" w:fill="FFFFFF"/>
        <w:spacing w:after="0" w:line="240" w:lineRule="auto"/>
        <w:jc w:val="center"/>
        <w:rPr>
          <w:rFonts w:ascii="Book Antiqua" w:hAnsi="Book Antiqua" w:eastAsia="Times New Roman" w:cs="Times New Roman"/>
          <w:b/>
          <w:color w:val="111111"/>
          <w:sz w:val="24"/>
          <w:szCs w:val="24"/>
          <w:lang w:eastAsia="el-GR"/>
        </w:rPr>
      </w:pPr>
      <w:r>
        <w:rPr>
          <w:rFonts w:ascii="Book Antiqua" w:hAnsi="Book Antiqua" w:eastAsia="Times New Roman" w:cs="Times New Roman"/>
          <w:b/>
          <w:color w:val="111111"/>
          <w:sz w:val="24"/>
          <w:szCs w:val="24"/>
          <w:lang w:eastAsia="el-GR"/>
        </w:rPr>
        <w:t>Ορισμός</w:t>
      </w:r>
    </w:p>
    <w:p w14:paraId="45C304E5">
      <w:pPr>
        <w:shd w:val="clear" w:color="auto" w:fill="FFFFFF"/>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color w:val="111111"/>
          <w:sz w:val="24"/>
          <w:szCs w:val="24"/>
          <w:lang w:eastAsia="el-GR"/>
        </w:rPr>
        <w:t>Όταν στη θεματική περίοδο μιας παραγράφου καθορίζονται τα κύρια γνωρίσματα και οι ιδιότητες μιας έννοιας, που την κάνουν διακριτή και ξεχωριστή, σε σχέση με τις άλλες, τότε η παράγραφος αναπτύσσεται με τη μέθοδο του </w:t>
      </w:r>
      <w:r>
        <w:rPr>
          <w:rFonts w:ascii="Book Antiqua" w:hAnsi="Book Antiqua" w:eastAsia="Times New Roman" w:cs="Times New Roman"/>
          <w:bCs/>
          <w:color w:val="111111"/>
          <w:sz w:val="24"/>
          <w:szCs w:val="24"/>
          <w:lang w:eastAsia="el-GR"/>
        </w:rPr>
        <w:t>ορισμού</w:t>
      </w:r>
      <w:r>
        <w:rPr>
          <w:rFonts w:ascii="Book Antiqua" w:hAnsi="Book Antiqua" w:eastAsia="Times New Roman" w:cs="Times New Roman"/>
          <w:color w:val="111111"/>
          <w:sz w:val="24"/>
          <w:szCs w:val="24"/>
          <w:lang w:eastAsia="el-GR"/>
        </w:rPr>
        <w:t>. Σε αυτήν την περίπτωση οφείλουμε να αναζητούμε και να παρουσιάζουμε και τα εξής στοιχεία:</w:t>
      </w:r>
    </w:p>
    <w:p w14:paraId="658C87DA">
      <w:pPr>
        <w:numPr>
          <w:ilvl w:val="0"/>
          <w:numId w:val="3"/>
        </w:numPr>
        <w:shd w:val="clear" w:color="auto" w:fill="FFFFFF"/>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color w:val="111111"/>
          <w:sz w:val="24"/>
          <w:szCs w:val="24"/>
          <w:lang w:eastAsia="el-GR"/>
        </w:rPr>
        <w:t>την </w:t>
      </w:r>
      <w:r>
        <w:rPr>
          <w:rFonts w:ascii="Book Antiqua" w:hAnsi="Book Antiqua" w:eastAsia="Times New Roman" w:cs="Times New Roman"/>
          <w:bCs/>
          <w:color w:val="111111"/>
          <w:sz w:val="24"/>
          <w:szCs w:val="24"/>
          <w:u w:val="single"/>
          <w:lang w:eastAsia="el-GR"/>
        </w:rPr>
        <w:t>οριστέα</w:t>
      </w:r>
      <w:r>
        <w:rPr>
          <w:rFonts w:ascii="Book Antiqua" w:hAnsi="Book Antiqua" w:eastAsia="Times New Roman" w:cs="Times New Roman"/>
          <w:color w:val="111111"/>
          <w:sz w:val="24"/>
          <w:szCs w:val="24"/>
          <w:u w:val="single"/>
          <w:lang w:eastAsia="el-GR"/>
        </w:rPr>
        <w:t> </w:t>
      </w:r>
      <w:r>
        <w:rPr>
          <w:rFonts w:ascii="Book Antiqua" w:hAnsi="Book Antiqua" w:eastAsia="Times New Roman" w:cs="Times New Roman"/>
          <w:bCs/>
          <w:color w:val="111111"/>
          <w:sz w:val="24"/>
          <w:szCs w:val="24"/>
          <w:u w:val="single"/>
          <w:lang w:eastAsia="el-GR"/>
        </w:rPr>
        <w:t>έννοια</w:t>
      </w:r>
      <w:r>
        <w:rPr>
          <w:rFonts w:ascii="Book Antiqua" w:hAnsi="Book Antiqua" w:eastAsia="Times New Roman" w:cs="Times New Roman"/>
          <w:color w:val="111111"/>
          <w:sz w:val="24"/>
          <w:szCs w:val="24"/>
          <w:lang w:eastAsia="el-GR"/>
        </w:rPr>
        <w:t>: πρόκειται για την έννοια που οφείλουμε να ορίσουμε.</w:t>
      </w:r>
    </w:p>
    <w:p w14:paraId="2171889C">
      <w:pPr>
        <w:numPr>
          <w:ilvl w:val="0"/>
          <w:numId w:val="3"/>
        </w:numPr>
        <w:shd w:val="clear" w:color="auto" w:fill="FFFFFF"/>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color w:val="111111"/>
          <w:sz w:val="24"/>
          <w:szCs w:val="24"/>
          <w:lang w:eastAsia="el-GR"/>
        </w:rPr>
        <w:t>το </w:t>
      </w:r>
      <w:r>
        <w:rPr>
          <w:rFonts w:ascii="Book Antiqua" w:hAnsi="Book Antiqua" w:eastAsia="Times New Roman" w:cs="Times New Roman"/>
          <w:bCs/>
          <w:color w:val="111111"/>
          <w:sz w:val="24"/>
          <w:szCs w:val="24"/>
          <w:u w:val="single"/>
          <w:lang w:eastAsia="el-GR"/>
        </w:rPr>
        <w:t>προσεχές</w:t>
      </w:r>
      <w:r>
        <w:rPr>
          <w:rFonts w:ascii="Book Antiqua" w:hAnsi="Book Antiqua" w:eastAsia="Times New Roman" w:cs="Times New Roman"/>
          <w:color w:val="111111"/>
          <w:sz w:val="24"/>
          <w:szCs w:val="24"/>
          <w:u w:val="single"/>
          <w:lang w:eastAsia="el-GR"/>
        </w:rPr>
        <w:t> </w:t>
      </w:r>
      <w:r>
        <w:rPr>
          <w:rFonts w:ascii="Book Antiqua" w:hAnsi="Book Antiqua" w:eastAsia="Times New Roman" w:cs="Times New Roman"/>
          <w:bCs/>
          <w:color w:val="111111"/>
          <w:sz w:val="24"/>
          <w:szCs w:val="24"/>
          <w:u w:val="single"/>
          <w:lang w:eastAsia="el-GR"/>
        </w:rPr>
        <w:t>γένος</w:t>
      </w:r>
      <w:r>
        <w:rPr>
          <w:rFonts w:ascii="Book Antiqua" w:hAnsi="Book Antiqua" w:eastAsia="Times New Roman" w:cs="Times New Roman"/>
          <w:color w:val="111111"/>
          <w:sz w:val="24"/>
          <w:szCs w:val="24"/>
          <w:lang w:eastAsia="el-GR"/>
        </w:rPr>
        <w:t>: την ευρύτερη κατηγορία στην οποία εντάσσεται αυτή</w:t>
      </w:r>
    </w:p>
    <w:p w14:paraId="288E7372">
      <w:pPr>
        <w:numPr>
          <w:ilvl w:val="0"/>
          <w:numId w:val="3"/>
        </w:numPr>
        <w:shd w:val="clear" w:color="auto" w:fill="FFFFFF"/>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color w:val="111111"/>
          <w:sz w:val="24"/>
          <w:szCs w:val="24"/>
          <w:lang w:eastAsia="el-GR"/>
        </w:rPr>
        <w:t>την </w:t>
      </w:r>
      <w:r>
        <w:rPr>
          <w:rFonts w:ascii="Book Antiqua" w:hAnsi="Book Antiqua" w:eastAsia="Times New Roman" w:cs="Times New Roman"/>
          <w:bCs/>
          <w:color w:val="111111"/>
          <w:sz w:val="24"/>
          <w:szCs w:val="24"/>
          <w:u w:val="single"/>
          <w:lang w:eastAsia="el-GR"/>
        </w:rPr>
        <w:t>ειδοποιό</w:t>
      </w:r>
      <w:r>
        <w:rPr>
          <w:rFonts w:ascii="Book Antiqua" w:hAnsi="Book Antiqua" w:eastAsia="Times New Roman" w:cs="Times New Roman"/>
          <w:color w:val="111111"/>
          <w:sz w:val="24"/>
          <w:szCs w:val="24"/>
          <w:u w:val="single"/>
          <w:lang w:eastAsia="el-GR"/>
        </w:rPr>
        <w:t> </w:t>
      </w:r>
      <w:r>
        <w:rPr>
          <w:rFonts w:ascii="Book Antiqua" w:hAnsi="Book Antiqua" w:eastAsia="Times New Roman" w:cs="Times New Roman"/>
          <w:bCs/>
          <w:color w:val="111111"/>
          <w:sz w:val="24"/>
          <w:szCs w:val="24"/>
          <w:u w:val="single"/>
          <w:lang w:eastAsia="el-GR"/>
        </w:rPr>
        <w:t>διαφορά</w:t>
      </w:r>
      <w:r>
        <w:rPr>
          <w:rFonts w:ascii="Book Antiqua" w:hAnsi="Book Antiqua" w:eastAsia="Times New Roman" w:cs="Times New Roman"/>
          <w:color w:val="111111"/>
          <w:sz w:val="24"/>
          <w:szCs w:val="24"/>
          <w:lang w:eastAsia="el-GR"/>
        </w:rPr>
        <w:t>: τα ιδιαίτερα χαρακτηριστικά που την κάνουν να διαφοροποιείται από τις υπόλοιπες έννοιες που ανήκουν στο ίδιο γένος.</w:t>
      </w:r>
    </w:p>
    <w:p w14:paraId="4B9A8A57">
      <w:pPr>
        <w:shd w:val="clear" w:color="auto" w:fill="FFFFFF"/>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color w:val="111111"/>
          <w:sz w:val="24"/>
          <w:szCs w:val="24"/>
          <w:lang w:eastAsia="el-GR"/>
        </w:rPr>
        <w:t>Ο ορισμός ανάλογα με την </w:t>
      </w:r>
      <w:r>
        <w:rPr>
          <w:rFonts w:ascii="Book Antiqua" w:hAnsi="Book Antiqua" w:eastAsia="Times New Roman" w:cs="Times New Roman"/>
          <w:bCs/>
          <w:color w:val="111111"/>
          <w:sz w:val="24"/>
          <w:szCs w:val="24"/>
          <w:lang w:eastAsia="el-GR"/>
        </w:rPr>
        <w:t>έκτασή</w:t>
      </w:r>
      <w:r>
        <w:rPr>
          <w:rFonts w:ascii="Book Antiqua" w:hAnsi="Book Antiqua" w:eastAsia="Times New Roman" w:cs="Times New Roman"/>
          <w:color w:val="111111"/>
          <w:sz w:val="24"/>
          <w:szCs w:val="24"/>
          <w:lang w:eastAsia="el-GR"/>
        </w:rPr>
        <w:t> του διακρίνεται σε:</w:t>
      </w:r>
    </w:p>
    <w:p w14:paraId="30E648B1">
      <w:pPr>
        <w:shd w:val="clear" w:color="auto" w:fill="FFFFFF"/>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bCs/>
          <w:color w:val="111111"/>
          <w:sz w:val="24"/>
          <w:szCs w:val="24"/>
          <w:lang w:eastAsia="el-GR"/>
        </w:rPr>
        <w:t>Α) σύντομο</w:t>
      </w:r>
      <w:r>
        <w:rPr>
          <w:rFonts w:ascii="Book Antiqua" w:hAnsi="Book Antiqua" w:eastAsia="Times New Roman" w:cs="Times New Roman"/>
          <w:color w:val="111111"/>
          <w:sz w:val="24"/>
          <w:szCs w:val="24"/>
          <w:lang w:eastAsia="el-GR"/>
        </w:rPr>
        <w:t>, όταν η παρουσίαση της έννοιας γίνεται με συνοπτικό-λεξικογραφικό τρόπο και</w:t>
      </w:r>
    </w:p>
    <w:p w14:paraId="256DD9CE">
      <w:pPr>
        <w:shd w:val="clear" w:color="auto" w:fill="FFFFFF"/>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bCs/>
          <w:color w:val="111111"/>
          <w:sz w:val="24"/>
          <w:szCs w:val="24"/>
          <w:lang w:eastAsia="el-GR"/>
        </w:rPr>
        <w:t>Β) εκτεταμένο</w:t>
      </w:r>
      <w:r>
        <w:rPr>
          <w:rFonts w:ascii="Book Antiqua" w:hAnsi="Book Antiqua" w:eastAsia="Times New Roman" w:cs="Times New Roman"/>
          <w:color w:val="111111"/>
          <w:sz w:val="24"/>
          <w:szCs w:val="24"/>
          <w:lang w:eastAsia="el-GR"/>
        </w:rPr>
        <w:t>, όταν η παρουσίαση της έννοιας εκτείνεται σε μία ή περισσότερες παραγράφους.</w:t>
      </w:r>
    </w:p>
    <w:p w14:paraId="1FACD0DC">
      <w:pPr>
        <w:shd w:val="clear" w:color="auto" w:fill="FFFFFF"/>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color w:val="111111"/>
          <w:sz w:val="24"/>
          <w:szCs w:val="24"/>
          <w:lang w:eastAsia="el-GR"/>
        </w:rPr>
        <w:t>Ο ορισμός ανάλογα με την </w:t>
      </w:r>
      <w:r>
        <w:rPr>
          <w:rFonts w:ascii="Book Antiqua" w:hAnsi="Book Antiqua" w:eastAsia="Times New Roman" w:cs="Times New Roman"/>
          <w:bCs/>
          <w:color w:val="111111"/>
          <w:sz w:val="24"/>
          <w:szCs w:val="24"/>
          <w:lang w:eastAsia="el-GR"/>
        </w:rPr>
        <w:t>προσέγγισή</w:t>
      </w:r>
      <w:r>
        <w:rPr>
          <w:rFonts w:ascii="Book Antiqua" w:hAnsi="Book Antiqua" w:eastAsia="Times New Roman" w:cs="Times New Roman"/>
          <w:color w:val="111111"/>
          <w:sz w:val="24"/>
          <w:szCs w:val="24"/>
          <w:lang w:eastAsia="el-GR"/>
        </w:rPr>
        <w:t> του διακρίνεται σε:</w:t>
      </w:r>
    </w:p>
    <w:p w14:paraId="711C92E4">
      <w:pPr>
        <w:shd w:val="clear" w:color="auto" w:fill="FFFFFF"/>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bCs/>
          <w:color w:val="111111"/>
          <w:sz w:val="24"/>
          <w:szCs w:val="24"/>
          <w:lang w:eastAsia="el-GR"/>
        </w:rPr>
        <w:t>α) αναλυτικός</w:t>
      </w:r>
      <w:r>
        <w:rPr>
          <w:rFonts w:ascii="Book Antiqua" w:hAnsi="Book Antiqua" w:eastAsia="Times New Roman" w:cs="Times New Roman"/>
          <w:color w:val="111111"/>
          <w:sz w:val="24"/>
          <w:szCs w:val="24"/>
          <w:lang w:eastAsia="el-GR"/>
        </w:rPr>
        <w:t>, όταν εκθέτει τα χαρακτηριστικά γνωρίσματα μιας έννοιας (π.χ. Πόλη είναι το πλήθος των πολιτών που έχουν το δικαίωμα να μετέχουν στην πολιτική και δικαστική εξουσία)</w:t>
      </w:r>
    </w:p>
    <w:p w14:paraId="4BB0DA6F">
      <w:pPr>
        <w:shd w:val="clear" w:color="auto" w:fill="FFFFFF"/>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bCs/>
          <w:color w:val="111111"/>
          <w:sz w:val="24"/>
          <w:szCs w:val="24"/>
          <w:lang w:eastAsia="el-GR"/>
        </w:rPr>
        <w:t>β) συνθετικός ή γενετικός</w:t>
      </w:r>
      <w:r>
        <w:rPr>
          <w:rFonts w:ascii="Book Antiqua" w:hAnsi="Book Antiqua" w:eastAsia="Times New Roman" w:cs="Times New Roman"/>
          <w:color w:val="111111"/>
          <w:sz w:val="24"/>
          <w:szCs w:val="24"/>
          <w:lang w:eastAsia="el-GR"/>
        </w:rPr>
        <w:t>, όταν περιγράφει τη διαδικασία γένεσης-δημιουργίας μιας έννοιας από τα συστατικά της (π.χ. Η κοινωνική οντότητα που προήλθε από τη συνένωση περισσότερων χωριών είναι η πόλη).</w:t>
      </w:r>
    </w:p>
    <w:p w14:paraId="525921D4">
      <w:pPr>
        <w:shd w:val="clear" w:color="auto" w:fill="FFFFFF"/>
        <w:spacing w:after="0" w:line="360" w:lineRule="auto"/>
        <w:jc w:val="both"/>
        <w:rPr>
          <w:rFonts w:ascii="Book Antiqua" w:hAnsi="Book Antiqua" w:eastAsia="Times New Roman" w:cs="Times New Roman"/>
          <w:color w:val="111111"/>
          <w:sz w:val="24"/>
          <w:szCs w:val="24"/>
          <w:lang w:eastAsia="el-GR"/>
        </w:rPr>
      </w:pPr>
      <w:r>
        <w:rPr>
          <w:rFonts w:ascii="Book Antiqua" w:hAnsi="Book Antiqua" w:eastAsia="Times New Roman" w:cs="Times New Roman"/>
          <w:bCs/>
          <w:color w:val="111111"/>
          <w:sz w:val="24"/>
          <w:szCs w:val="24"/>
          <w:u w:val="single"/>
          <w:lang w:eastAsia="el-GR"/>
        </w:rPr>
        <w:t>Ενδεικτικές λέξεις</w:t>
      </w:r>
      <w:r>
        <w:rPr>
          <w:rFonts w:ascii="Book Antiqua" w:hAnsi="Book Antiqua" w:eastAsia="Times New Roman" w:cs="Times New Roman"/>
          <w:bCs/>
          <w:color w:val="111111"/>
          <w:sz w:val="24"/>
          <w:szCs w:val="24"/>
          <w:lang w:eastAsia="el-GR"/>
        </w:rPr>
        <w:t>:</w:t>
      </w:r>
      <w:r>
        <w:rPr>
          <w:rFonts w:ascii="Book Antiqua" w:hAnsi="Book Antiqua" w:eastAsia="Times New Roman" w:cs="Times New Roman"/>
          <w:color w:val="111111"/>
          <w:sz w:val="24"/>
          <w:szCs w:val="24"/>
          <w:lang w:eastAsia="el-GR"/>
        </w:rPr>
        <w:t> ορίζεται, λέ</w:t>
      </w:r>
      <w:bookmarkStart w:id="1" w:name="_GoBack"/>
      <w:bookmarkEnd w:id="1"/>
      <w:r>
        <w:rPr>
          <w:rFonts w:ascii="Book Antiqua" w:hAnsi="Book Antiqua" w:eastAsia="Times New Roman" w:cs="Times New Roman"/>
          <w:color w:val="111111"/>
          <w:sz w:val="24"/>
          <w:szCs w:val="24"/>
          <w:lang w:eastAsia="el-GR"/>
        </w:rPr>
        <w:t>γεται, είναι, αποτελεί, ονομάζεται.</w:t>
      </w:r>
    </w:p>
    <w:p w14:paraId="05A311D8">
      <w:pPr>
        <w:shd w:val="clear" w:color="auto" w:fill="FFFFFF"/>
        <w:spacing w:after="0" w:line="360" w:lineRule="auto"/>
        <w:jc w:val="both"/>
        <w:rPr>
          <w:rFonts w:ascii="Book Antiqua" w:hAnsi="Book Antiqua"/>
          <w:b/>
          <w:bCs/>
          <w:color w:val="000000"/>
          <w:sz w:val="24"/>
          <w:szCs w:val="24"/>
          <w:shd w:val="clear" w:color="auto" w:fill="EEEEEE"/>
        </w:rPr>
      </w:pPr>
      <w:r>
        <w:rPr>
          <w:rFonts w:ascii="Book Antiqua" w:hAnsi="Book Antiqua"/>
          <w:b/>
          <w:bCs/>
          <w:color w:val="000000"/>
          <w:sz w:val="24"/>
          <w:szCs w:val="24"/>
          <w:shd w:val="clear" w:color="auto" w:fill="EEEEEE"/>
        </w:rPr>
        <w:t>Πώς ο τρόπος ανάπτυξης του ορισμού υπηρετεί την πρόθεση του γράφοντος</w:t>
      </w:r>
    </w:p>
    <w:p w14:paraId="22101E55">
      <w:pPr>
        <w:shd w:val="clear" w:color="auto" w:fill="FFFFFF"/>
        <w:spacing w:after="0" w:line="360" w:lineRule="auto"/>
        <w:jc w:val="both"/>
        <w:rPr>
          <w:rFonts w:ascii="Book Antiqua" w:hAnsi="Book Antiqua" w:eastAsia="Times New Roman" w:cs="Times New Roman"/>
          <w:color w:val="111111"/>
          <w:sz w:val="24"/>
          <w:szCs w:val="24"/>
          <w:lang w:eastAsia="el-GR"/>
        </w:rPr>
      </w:pPr>
      <w:r>
        <w:rPr>
          <w:rFonts w:ascii="Book Antiqua" w:hAnsi="Book Antiqua"/>
          <w:color w:val="111111"/>
          <w:sz w:val="24"/>
          <w:szCs w:val="24"/>
          <w:shd w:val="clear" w:color="auto" w:fill="FFFFFF"/>
        </w:rPr>
        <w:t xml:space="preserve">Ο συγγραφέας επιδιώκει </w:t>
      </w:r>
      <w:r>
        <w:rPr>
          <w:rFonts w:ascii="Book Antiqua" w:hAnsi="Book Antiqua"/>
          <w:color w:val="111111"/>
          <w:sz w:val="24"/>
          <w:szCs w:val="24"/>
          <w:u w:val="single"/>
          <w:shd w:val="clear" w:color="auto" w:fill="FFFFFF"/>
        </w:rPr>
        <w:t>να αποσαφηνίσει/να επεξηγήσει</w:t>
      </w:r>
      <w:r>
        <w:rPr>
          <w:rFonts w:ascii="Book Antiqua" w:hAnsi="Book Antiqua"/>
          <w:color w:val="111111"/>
          <w:sz w:val="24"/>
          <w:szCs w:val="24"/>
          <w:shd w:val="clear" w:color="auto" w:fill="FFFFFF"/>
        </w:rPr>
        <w:t xml:space="preserve"> το περιεχόμενο της οριστέας έννοιας περιγράφοντας/παραθέτοντας τα γνωρίσματά της, είτε </w:t>
      </w:r>
      <w:r>
        <w:rPr>
          <w:rFonts w:ascii="Book Antiqua" w:hAnsi="Book Antiqua"/>
          <w:color w:val="111111"/>
          <w:sz w:val="24"/>
          <w:szCs w:val="24"/>
          <w:u w:val="single"/>
          <w:shd w:val="clear" w:color="auto" w:fill="FFFFFF"/>
        </w:rPr>
        <w:t xml:space="preserve">γιατί </w:t>
      </w:r>
      <w:r>
        <w:rPr>
          <w:rFonts w:ascii="Book Antiqua" w:hAnsi="Book Antiqua"/>
          <w:color w:val="000000"/>
          <w:sz w:val="24"/>
          <w:szCs w:val="24"/>
          <w:u w:val="single"/>
          <w:shd w:val="clear" w:color="auto" w:fill="EEEEEE"/>
        </w:rPr>
        <w:t xml:space="preserve"> θεωρεί πως αυτή δεν είναι ιδιαίτερα γνωστή</w:t>
      </w:r>
      <w:r>
        <w:rPr>
          <w:rFonts w:ascii="Book Antiqua" w:hAnsi="Book Antiqua"/>
          <w:color w:val="000000"/>
          <w:sz w:val="24"/>
          <w:szCs w:val="24"/>
          <w:shd w:val="clear" w:color="auto" w:fill="EEEEEE"/>
        </w:rPr>
        <w:t xml:space="preserve">, είτε </w:t>
      </w:r>
      <w:r>
        <w:rPr>
          <w:rFonts w:ascii="Book Antiqua" w:hAnsi="Book Antiqua"/>
          <w:color w:val="000000"/>
          <w:sz w:val="24"/>
          <w:szCs w:val="24"/>
          <w:u w:val="single"/>
          <w:shd w:val="clear" w:color="auto" w:fill="EEEEEE"/>
        </w:rPr>
        <w:t>γιατί ο γράφων θέλει να δώσει έμφαση ή να παρουσιάσει συγκεκριμένα χαρακτηριστικά της έννοιας</w:t>
      </w:r>
      <w:r>
        <w:rPr>
          <w:rFonts w:ascii="Book Antiqua" w:hAnsi="Book Antiqua"/>
          <w:color w:val="000000"/>
          <w:sz w:val="24"/>
          <w:szCs w:val="24"/>
          <w:shd w:val="clear" w:color="auto" w:fill="EEEEEE"/>
        </w:rPr>
        <w:t xml:space="preserve"> -ή του φαινομένου- που προσεγγίζει, ώστε να παρουσιάσει τον συλλογισμό του, είτε γιατί </w:t>
      </w:r>
      <w:r>
        <w:rPr>
          <w:rFonts w:ascii="Book Antiqua" w:hAnsi="Book Antiqua"/>
          <w:color w:val="000000"/>
          <w:sz w:val="24"/>
          <w:szCs w:val="24"/>
          <w:u w:val="single"/>
          <w:shd w:val="clear" w:color="auto" w:fill="EEEEEE"/>
        </w:rPr>
        <w:t>χρησιμοποιεί τον ορισμό ως αφετηρία για να αναπτύξει τον συλλογισμό του</w:t>
      </w:r>
      <w:r>
        <w:rPr>
          <w:rFonts w:ascii="Book Antiqua" w:hAnsi="Book Antiqua"/>
          <w:color w:val="000000"/>
          <w:sz w:val="24"/>
          <w:szCs w:val="24"/>
          <w:shd w:val="clear" w:color="auto" w:fill="EEEEEE"/>
        </w:rPr>
        <w:t xml:space="preserve"> (π.χ. παραθέτει τον ορισμός της έννοιας «ανθρώπινα δικαιώματα» για να υποστηρίξει στη συνέχεια ότι αυτά παραβιάζονται στον σύγχρονο κόσμο)</w:t>
      </w:r>
    </w:p>
    <w:p w14:paraId="5B754707">
      <w:pPr>
        <w:pStyle w:val="11"/>
        <w:spacing w:after="0" w:line="360" w:lineRule="auto"/>
        <w:jc w:val="both"/>
        <w:rPr>
          <w:rFonts w:ascii="Book Antiqua" w:hAnsi="Book Antiqua" w:eastAsia="Times New Roman" w:cs="Times New Roman"/>
          <w:color w:val="111111"/>
          <w:sz w:val="24"/>
          <w:szCs w:val="24"/>
          <w:lang w:eastAsia="el-GR"/>
        </w:rPr>
      </w:pPr>
    </w:p>
    <w:p w14:paraId="674077A6">
      <w:pPr>
        <w:pStyle w:val="8"/>
        <w:numPr>
          <w:ilvl w:val="0"/>
          <w:numId w:val="2"/>
        </w:numPr>
        <w:shd w:val="clear" w:color="auto" w:fill="FFFFFF"/>
        <w:spacing w:before="0" w:beforeAutospacing="0" w:after="0" w:afterAutospacing="0" w:line="360" w:lineRule="auto"/>
        <w:jc w:val="center"/>
        <w:rPr>
          <w:rFonts w:ascii="Book Antiqua" w:hAnsi="Book Antiqua"/>
          <w:b/>
          <w:color w:val="111111"/>
        </w:rPr>
      </w:pPr>
      <w:r>
        <w:rPr>
          <w:rFonts w:ascii="Book Antiqua" w:hAnsi="Book Antiqua"/>
          <w:b/>
          <w:color w:val="111111"/>
        </w:rPr>
        <w:t>Διαίρεση</w:t>
      </w:r>
    </w:p>
    <w:p w14:paraId="347A9888">
      <w:pPr>
        <w:pStyle w:val="8"/>
        <w:shd w:val="clear" w:color="auto" w:fill="FFFFFF"/>
        <w:spacing w:before="0" w:beforeAutospacing="0" w:after="0" w:afterAutospacing="0" w:line="360" w:lineRule="auto"/>
        <w:jc w:val="both"/>
        <w:rPr>
          <w:rFonts w:ascii="Book Antiqua" w:hAnsi="Book Antiqua"/>
          <w:color w:val="111111"/>
        </w:rPr>
      </w:pPr>
      <w:r>
        <w:rPr>
          <w:rFonts w:ascii="Book Antiqua" w:hAnsi="Book Antiqua"/>
          <w:color w:val="111111"/>
        </w:rPr>
        <w:t>Στην περίπτωση αυτή η θεματική περίοδος είναι διατυπωμένη έτσι ώστε να αποκαλύπτει τα στοιχεία από τα οποία αποτελείται ένα αντικείμενο ή μία ιδέα η οποία αποκαλείται </w:t>
      </w:r>
      <w:r>
        <w:rPr>
          <w:rStyle w:val="9"/>
          <w:rFonts w:ascii="Book Antiqua" w:hAnsi="Book Antiqua"/>
          <w:b w:val="0"/>
          <w:color w:val="111111"/>
          <w:u w:val="single"/>
        </w:rPr>
        <w:t>διαιρετέα έννοια</w:t>
      </w:r>
      <w:r>
        <w:rPr>
          <w:rFonts w:ascii="Book Antiqua" w:hAnsi="Book Antiqua"/>
          <w:color w:val="111111"/>
        </w:rPr>
        <w:t>. Στη διαίρεση αναλύουμε ένα όλο (</w:t>
      </w:r>
      <w:r>
        <w:rPr>
          <w:rStyle w:val="9"/>
          <w:rFonts w:ascii="Book Antiqua" w:hAnsi="Book Antiqua"/>
          <w:b w:val="0"/>
          <w:color w:val="111111"/>
          <w:u w:val="single"/>
        </w:rPr>
        <w:t>γένος</w:t>
      </w:r>
      <w:r>
        <w:rPr>
          <w:rFonts w:ascii="Book Antiqua" w:hAnsi="Book Antiqua"/>
          <w:color w:val="111111"/>
        </w:rPr>
        <w:t>) στα μέρη του (</w:t>
      </w:r>
      <w:r>
        <w:rPr>
          <w:rStyle w:val="9"/>
          <w:rFonts w:ascii="Book Antiqua" w:hAnsi="Book Antiqua"/>
          <w:b w:val="0"/>
          <w:color w:val="111111"/>
          <w:u w:val="single"/>
        </w:rPr>
        <w:t>είδη/μέλη</w:t>
      </w:r>
      <w:r>
        <w:rPr>
          <w:rFonts w:ascii="Book Antiqua" w:hAnsi="Book Antiqua"/>
          <w:color w:val="111111"/>
        </w:rPr>
        <w:t xml:space="preserve">) με κάποιο βασικό, ουσιώδες γνώρισμα </w:t>
      </w:r>
      <w:r>
        <w:rPr>
          <w:rFonts w:ascii="Book Antiqua" w:hAnsi="Book Antiqua"/>
          <w:color w:val="111111"/>
          <w:u w:val="single"/>
        </w:rPr>
        <w:t>(</w:t>
      </w:r>
      <w:r>
        <w:rPr>
          <w:rStyle w:val="9"/>
          <w:rFonts w:ascii="Book Antiqua" w:hAnsi="Book Antiqua"/>
          <w:b w:val="0"/>
          <w:color w:val="111111"/>
          <w:u w:val="single"/>
        </w:rPr>
        <w:t>διαιρετική βάση</w:t>
      </w:r>
      <w:r>
        <w:rPr>
          <w:rFonts w:ascii="Book Antiqua" w:hAnsi="Book Antiqua"/>
          <w:color w:val="111111"/>
          <w:u w:val="single"/>
        </w:rPr>
        <w:t>).</w:t>
      </w:r>
      <w:r>
        <w:rPr>
          <w:rFonts w:ascii="Book Antiqua" w:hAnsi="Book Antiqua"/>
          <w:color w:val="111111"/>
        </w:rPr>
        <w:t xml:space="preserve"> Στις λεπτομέρειες σχολιάζονται όλα τα είδη που δηλώνονται στη θεματική πρόταση.</w:t>
      </w:r>
    </w:p>
    <w:p w14:paraId="716DCA62">
      <w:pPr>
        <w:pStyle w:val="8"/>
        <w:shd w:val="clear" w:color="auto" w:fill="FFFFFF"/>
        <w:spacing w:before="0" w:beforeAutospacing="0" w:after="0" w:afterAutospacing="0" w:line="360" w:lineRule="auto"/>
        <w:jc w:val="both"/>
        <w:rPr>
          <w:rFonts w:ascii="Book Antiqua" w:hAnsi="Book Antiqua"/>
          <w:color w:val="111111"/>
        </w:rPr>
      </w:pPr>
      <w:r>
        <w:rPr>
          <w:rStyle w:val="9"/>
          <w:rFonts w:ascii="Book Antiqua" w:hAnsi="Book Antiqua"/>
          <w:b w:val="0"/>
          <w:color w:val="111111"/>
          <w:u w:val="single"/>
        </w:rPr>
        <w:t>Ενδεικτικές λέξεις</w:t>
      </w:r>
      <w:r>
        <w:rPr>
          <w:rStyle w:val="9"/>
          <w:rFonts w:ascii="Book Antiqua" w:hAnsi="Book Antiqua"/>
          <w:b w:val="0"/>
          <w:color w:val="111111"/>
        </w:rPr>
        <w:t>:</w:t>
      </w:r>
      <w:r>
        <w:rPr>
          <w:rFonts w:ascii="Book Antiqua" w:hAnsi="Book Antiqua"/>
          <w:color w:val="111111"/>
        </w:rPr>
        <w:t> πρώτον, δεύτερον, από τη μια, από την άλλη, διαιρούμε, διακρίνουμε, διχοτομείται, χωρίζεται.</w:t>
      </w:r>
    </w:p>
    <w:p w14:paraId="7806CC58">
      <w:pPr>
        <w:pStyle w:val="8"/>
        <w:shd w:val="clear" w:color="auto" w:fill="FFFFFF"/>
        <w:spacing w:before="0" w:beforeAutospacing="0" w:after="0" w:afterAutospacing="0" w:line="360" w:lineRule="auto"/>
        <w:jc w:val="both"/>
        <w:rPr>
          <w:rFonts w:ascii="Book Antiqua" w:hAnsi="Book Antiqua"/>
          <w:b/>
          <w:bCs/>
          <w:color w:val="000000"/>
          <w:shd w:val="clear" w:color="auto" w:fill="EEEEEE"/>
        </w:rPr>
      </w:pPr>
      <w:r>
        <w:rPr>
          <w:rFonts w:ascii="Book Antiqua" w:hAnsi="Book Antiqua"/>
          <w:b/>
          <w:bCs/>
          <w:color w:val="000000"/>
          <w:shd w:val="clear" w:color="auto" w:fill="EEEEEE"/>
        </w:rPr>
        <w:t>Πώς ο τρόπος ανάπτυξης της διαίρεσης υπηρετεί την πρόθεση του γράφοντος</w:t>
      </w:r>
    </w:p>
    <w:p w14:paraId="3E283669">
      <w:pPr>
        <w:pStyle w:val="8"/>
        <w:shd w:val="clear" w:color="auto" w:fill="FFFFFF"/>
        <w:spacing w:before="0" w:beforeAutospacing="0" w:after="0" w:afterAutospacing="0" w:line="360" w:lineRule="auto"/>
        <w:jc w:val="both"/>
        <w:rPr>
          <w:rFonts w:ascii="Book Antiqua" w:hAnsi="Book Antiqua"/>
          <w:color w:val="111111"/>
        </w:rPr>
      </w:pPr>
      <w:r>
        <w:rPr>
          <w:rFonts w:ascii="Book Antiqua" w:hAnsi="Book Antiqua"/>
          <w:color w:val="111111"/>
          <w:shd w:val="clear" w:color="auto" w:fill="FFFFFF"/>
        </w:rPr>
        <w:t xml:space="preserve">Ο συγγραφέας επιδιώκει </w:t>
      </w:r>
      <w:r>
        <w:rPr>
          <w:rFonts w:ascii="Book Antiqua" w:hAnsi="Book Antiqua"/>
          <w:color w:val="111111"/>
          <w:u w:val="single"/>
          <w:shd w:val="clear" w:color="auto" w:fill="FFFFFF"/>
        </w:rPr>
        <w:t>να διασαφηνίσει</w:t>
      </w:r>
      <w:r>
        <w:rPr>
          <w:rFonts w:ascii="Book Antiqua" w:hAnsi="Book Antiqua"/>
          <w:color w:val="111111"/>
          <w:shd w:val="clear" w:color="auto" w:fill="FFFFFF"/>
        </w:rPr>
        <w:t xml:space="preserve"> το περιεχόμενο της διαιρετέας έννοιας και να επεξηγήσει τις επιμέρους μορφές της.</w:t>
      </w:r>
    </w:p>
    <w:p w14:paraId="2B5E0531">
      <w:pPr>
        <w:pStyle w:val="8"/>
        <w:shd w:val="clear" w:color="auto" w:fill="FFFFFF"/>
        <w:spacing w:before="0" w:beforeAutospacing="0" w:after="0" w:afterAutospacing="0" w:line="360" w:lineRule="auto"/>
        <w:jc w:val="both"/>
        <w:rPr>
          <w:rFonts w:ascii="Book Antiqua" w:hAnsi="Book Antiqua"/>
          <w:color w:val="111111"/>
        </w:rPr>
      </w:pPr>
    </w:p>
    <w:p w14:paraId="4CB9C9D5">
      <w:pPr>
        <w:pStyle w:val="8"/>
        <w:shd w:val="clear" w:color="auto" w:fill="FFFFFF"/>
        <w:spacing w:before="0" w:beforeAutospacing="0" w:after="0" w:afterAutospacing="0" w:line="360" w:lineRule="auto"/>
        <w:jc w:val="both"/>
        <w:rPr>
          <w:rFonts w:ascii="Book Antiqua" w:hAnsi="Book Antiqua"/>
          <w:b/>
          <w:color w:val="111111"/>
        </w:rPr>
      </w:pPr>
    </w:p>
    <w:p w14:paraId="07728B3E">
      <w:pPr>
        <w:pStyle w:val="8"/>
        <w:numPr>
          <w:ilvl w:val="0"/>
          <w:numId w:val="2"/>
        </w:numPr>
        <w:shd w:val="clear" w:color="auto" w:fill="FFFFFF"/>
        <w:spacing w:before="0" w:beforeAutospacing="0" w:after="0" w:afterAutospacing="0" w:line="360" w:lineRule="auto"/>
        <w:jc w:val="center"/>
        <w:rPr>
          <w:rFonts w:ascii="Book Antiqua" w:hAnsi="Book Antiqua"/>
          <w:b/>
          <w:color w:val="111111"/>
        </w:rPr>
      </w:pPr>
      <w:r>
        <w:rPr>
          <w:rFonts w:ascii="Book Antiqua" w:hAnsi="Book Antiqua"/>
          <w:b/>
          <w:color w:val="111111"/>
        </w:rPr>
        <w:t>Αίτιο-αποτέλεσμα</w:t>
      </w:r>
    </w:p>
    <w:p w14:paraId="1900D256">
      <w:pPr>
        <w:pStyle w:val="8"/>
        <w:shd w:val="clear" w:color="auto" w:fill="FFFFFF"/>
        <w:spacing w:before="0" w:beforeAutospacing="0" w:after="0" w:afterAutospacing="0" w:line="360" w:lineRule="auto"/>
        <w:jc w:val="both"/>
        <w:rPr>
          <w:rFonts w:ascii="Book Antiqua" w:hAnsi="Book Antiqua"/>
          <w:color w:val="111111"/>
        </w:rPr>
      </w:pPr>
      <w:r>
        <w:rPr>
          <w:rFonts w:ascii="Book Antiqua" w:hAnsi="Book Antiqua"/>
          <w:color w:val="111111"/>
        </w:rPr>
        <w:t>Στη θεματική περίοδο παρουσιάζεται η </w:t>
      </w:r>
      <w:r>
        <w:rPr>
          <w:rStyle w:val="9"/>
          <w:rFonts w:ascii="Book Antiqua" w:hAnsi="Book Antiqua"/>
          <w:b w:val="0"/>
          <w:color w:val="111111"/>
        </w:rPr>
        <w:t>σχέση αιτίου-αποτελέσματο</w:t>
      </w:r>
      <w:r>
        <w:rPr>
          <w:rFonts w:ascii="Book Antiqua" w:hAnsi="Book Antiqua"/>
          <w:color w:val="111111"/>
        </w:rPr>
        <w:t>ς και στη συνέχεια αναλύονται τα αποτελέσματα στις λεπτομέρειες/σχόλια. Μπορεί όμως να συμβεί το αντίθετο και να διατυπωθεί στη θεματική περίοδο ένα αποτέλεσμα ή μία συνέπεια και στις λεπτομέρειες να διατυπωθούν οι αιτίες που οδηγούν σε αυτό.</w:t>
      </w:r>
    </w:p>
    <w:p w14:paraId="28EE0F81">
      <w:pPr>
        <w:pStyle w:val="8"/>
        <w:shd w:val="clear" w:color="auto" w:fill="FFFFFF"/>
        <w:spacing w:before="0" w:beforeAutospacing="0" w:after="0" w:afterAutospacing="0" w:line="360" w:lineRule="auto"/>
        <w:jc w:val="both"/>
        <w:rPr>
          <w:rFonts w:ascii="Book Antiqua" w:hAnsi="Book Antiqua"/>
          <w:color w:val="111111"/>
        </w:rPr>
      </w:pPr>
      <w:r>
        <w:rPr>
          <w:rStyle w:val="9"/>
          <w:rFonts w:ascii="Book Antiqua" w:hAnsi="Book Antiqua"/>
          <w:b w:val="0"/>
          <w:color w:val="111111"/>
          <w:u w:val="single"/>
        </w:rPr>
        <w:t>Ενδεικτικές λέξεις</w:t>
      </w:r>
      <w:r>
        <w:rPr>
          <w:rStyle w:val="9"/>
          <w:rFonts w:ascii="Book Antiqua" w:hAnsi="Book Antiqua"/>
          <w:b w:val="0"/>
          <w:color w:val="111111"/>
        </w:rPr>
        <w:t>:</w:t>
      </w:r>
      <w:r>
        <w:rPr>
          <w:rFonts w:ascii="Book Antiqua" w:hAnsi="Book Antiqua"/>
          <w:color w:val="111111"/>
        </w:rPr>
        <w:t> οφείλεται, ευθύνεται, αιτία, αποτέλεσμα, συνεπώς, επομένως, άρα, προκαλεί.</w:t>
      </w:r>
    </w:p>
    <w:p w14:paraId="4825E0A3">
      <w:pPr>
        <w:pStyle w:val="8"/>
        <w:shd w:val="clear" w:color="auto" w:fill="FFFFFF"/>
        <w:spacing w:before="0" w:beforeAutospacing="0" w:after="0" w:afterAutospacing="0" w:line="360" w:lineRule="auto"/>
        <w:jc w:val="both"/>
        <w:rPr>
          <w:rFonts w:ascii="Book Antiqua" w:hAnsi="Book Antiqua"/>
          <w:b/>
          <w:bCs/>
          <w:color w:val="000000"/>
          <w:shd w:val="clear" w:color="auto" w:fill="EEEEEE"/>
        </w:rPr>
      </w:pPr>
      <w:r>
        <w:rPr>
          <w:rFonts w:ascii="Book Antiqua" w:hAnsi="Book Antiqua"/>
          <w:b/>
          <w:bCs/>
          <w:color w:val="000000"/>
          <w:shd w:val="clear" w:color="auto" w:fill="EEEEEE"/>
        </w:rPr>
        <w:t>Πώς ο τρόπος ανάπτυξης του αιτίου – αποτελέσματος υπηρετεί την πρόθεση του γράφοντος</w:t>
      </w:r>
    </w:p>
    <w:p w14:paraId="6A018392">
      <w:pPr>
        <w:pStyle w:val="8"/>
        <w:shd w:val="clear" w:color="auto" w:fill="FFFFFF"/>
        <w:spacing w:before="0" w:beforeAutospacing="0" w:after="0" w:afterAutospacing="0" w:line="360" w:lineRule="auto"/>
        <w:jc w:val="both"/>
        <w:rPr>
          <w:rFonts w:ascii="Book Antiqua" w:hAnsi="Book Antiqua"/>
          <w:color w:val="111111"/>
        </w:rPr>
      </w:pPr>
      <w:r>
        <w:rPr>
          <w:rFonts w:ascii="Book Antiqua" w:hAnsi="Book Antiqua"/>
          <w:color w:val="111111"/>
        </w:rPr>
        <w:t xml:space="preserve"> Με την παρουσίαση των αποτελεσμάτων/συνεπειών που έχει ένα αίτιο/φαινόμενο ή αντιστρόφως με την ανάδειξη των αιτίων που οδηγούν σε κάποιο αποτέλεσμα, ο γράφων έχει τη δυνατότητα </w:t>
      </w:r>
      <w:r>
        <w:rPr>
          <w:rFonts w:ascii="Book Antiqua" w:hAnsi="Book Antiqua"/>
          <w:color w:val="111111"/>
          <w:u w:val="single"/>
        </w:rPr>
        <w:t>ερμηνεύσει την αιτιακή σχέση</w:t>
      </w:r>
      <w:r>
        <w:rPr>
          <w:rFonts w:ascii="Book Antiqua" w:hAnsi="Book Antiqua"/>
          <w:color w:val="111111"/>
        </w:rPr>
        <w:t xml:space="preserve"> ανάμεσα σε αίτια και συνέπειες και </w:t>
      </w:r>
      <w:r>
        <w:rPr>
          <w:rFonts w:ascii="Book Antiqua" w:hAnsi="Book Antiqua"/>
          <w:color w:val="111111"/>
          <w:u w:val="single"/>
        </w:rPr>
        <w:t>να επιτρέψει στους αναγνώστες να αντιληφθούν</w:t>
      </w:r>
      <w:r>
        <w:rPr>
          <w:rFonts w:ascii="Book Antiqua" w:hAnsi="Book Antiqua"/>
          <w:color w:val="111111"/>
        </w:rPr>
        <w:t xml:space="preserve"> το πώς μια ορισμένη δράση τους οδηγεί σε συγκεκριμένα αρνητικά -ή θετικά- αποτελέσματα, </w:t>
      </w:r>
      <w:r>
        <w:rPr>
          <w:rFonts w:ascii="Book Antiqua" w:hAnsi="Book Antiqua"/>
          <w:color w:val="111111"/>
          <w:u w:val="single"/>
        </w:rPr>
        <w:t>τονίζοντας</w:t>
      </w:r>
      <w:r>
        <w:rPr>
          <w:rFonts w:ascii="Book Antiqua" w:hAnsi="Book Antiqua"/>
          <w:color w:val="111111"/>
        </w:rPr>
        <w:t xml:space="preserve"> έτσι, σε κάποιες περιπτώσεις, </w:t>
      </w:r>
      <w:r>
        <w:rPr>
          <w:rFonts w:ascii="Book Antiqua" w:hAnsi="Book Antiqua"/>
          <w:color w:val="111111"/>
          <w:u w:val="single"/>
        </w:rPr>
        <w:t>τη σοβαρότητα</w:t>
      </w:r>
      <w:r>
        <w:rPr>
          <w:rFonts w:ascii="Book Antiqua" w:hAnsi="Book Antiqua"/>
          <w:color w:val="111111"/>
        </w:rPr>
        <w:t xml:space="preserve"> του υπό εξέταση ζητήματος.</w:t>
      </w:r>
    </w:p>
    <w:p w14:paraId="03253949">
      <w:pPr>
        <w:pStyle w:val="8"/>
        <w:shd w:val="clear" w:color="auto" w:fill="FFFFFF"/>
        <w:spacing w:before="0" w:beforeAutospacing="0" w:after="0" w:afterAutospacing="0" w:line="360" w:lineRule="auto"/>
        <w:jc w:val="both"/>
        <w:rPr>
          <w:rFonts w:ascii="Book Antiqua" w:hAnsi="Book Antiqua"/>
          <w:color w:val="111111"/>
        </w:rPr>
      </w:pPr>
    </w:p>
    <w:p w14:paraId="6FD41B7F">
      <w:pPr>
        <w:pStyle w:val="8"/>
        <w:numPr>
          <w:ilvl w:val="0"/>
          <w:numId w:val="2"/>
        </w:numPr>
        <w:shd w:val="clear" w:color="auto" w:fill="FFFFFF"/>
        <w:spacing w:before="0" w:beforeAutospacing="0" w:after="0" w:afterAutospacing="0" w:line="360" w:lineRule="auto"/>
        <w:jc w:val="center"/>
        <w:rPr>
          <w:rFonts w:ascii="Book Antiqua" w:hAnsi="Book Antiqua"/>
          <w:b/>
          <w:color w:val="111111"/>
        </w:rPr>
      </w:pPr>
      <w:r>
        <w:rPr>
          <w:rFonts w:ascii="Book Antiqua" w:hAnsi="Book Antiqua"/>
          <w:b/>
          <w:color w:val="111111"/>
        </w:rPr>
        <w:t>Αναλογία</w:t>
      </w:r>
    </w:p>
    <w:p w14:paraId="37CE6487">
      <w:pPr>
        <w:pStyle w:val="8"/>
        <w:shd w:val="clear" w:color="auto" w:fill="FFFFFF"/>
        <w:spacing w:before="0" w:beforeAutospacing="0" w:after="0" w:afterAutospacing="0" w:line="360" w:lineRule="auto"/>
        <w:jc w:val="both"/>
        <w:rPr>
          <w:rFonts w:ascii="Book Antiqua" w:hAnsi="Book Antiqua"/>
          <w:color w:val="111111"/>
        </w:rPr>
      </w:pPr>
      <w:r>
        <w:rPr>
          <w:rFonts w:ascii="Book Antiqua" w:hAnsi="Book Antiqua"/>
          <w:color w:val="111111"/>
        </w:rPr>
        <w:t>Με τη μέθοδο αυτή ο συγγραφέας βεβαιώνει μία </w:t>
      </w:r>
      <w:r>
        <w:rPr>
          <w:rStyle w:val="9"/>
          <w:rFonts w:ascii="Book Antiqua" w:hAnsi="Book Antiqua"/>
          <w:b w:val="0"/>
          <w:color w:val="111111"/>
        </w:rPr>
        <w:t>ομοιότητα</w:t>
      </w:r>
      <w:r>
        <w:rPr>
          <w:rFonts w:ascii="Book Antiqua" w:hAnsi="Book Antiqua"/>
          <w:color w:val="111111"/>
        </w:rPr>
        <w:t> ανάμεσα σε δύο ή περισσότερα πράγματα εντελώς ανόμοια από όλες τις άλλες πλευρές. Στην περίπτωση αυτή η θεματική περίοδος είναι διατυπωμένη ως </w:t>
      </w:r>
      <w:r>
        <w:rPr>
          <w:rStyle w:val="9"/>
          <w:rFonts w:ascii="Book Antiqua" w:hAnsi="Book Antiqua"/>
          <w:b w:val="0"/>
          <w:color w:val="111111"/>
        </w:rPr>
        <w:t>παρομοίωση</w:t>
      </w:r>
      <w:r>
        <w:rPr>
          <w:rFonts w:ascii="Book Antiqua" w:hAnsi="Book Antiqua"/>
          <w:color w:val="111111"/>
        </w:rPr>
        <w:t> ή </w:t>
      </w:r>
      <w:r>
        <w:rPr>
          <w:rStyle w:val="9"/>
          <w:rFonts w:ascii="Book Antiqua" w:hAnsi="Book Antiqua"/>
          <w:b w:val="0"/>
          <w:color w:val="111111"/>
        </w:rPr>
        <w:t>μεταφορά</w:t>
      </w:r>
      <w:r>
        <w:rPr>
          <w:rFonts w:ascii="Book Antiqua" w:hAnsi="Book Antiqua"/>
          <w:color w:val="111111"/>
        </w:rPr>
        <w:t> και η ανάπτυξή της είναι μία </w:t>
      </w:r>
      <w:r>
        <w:rPr>
          <w:rStyle w:val="9"/>
          <w:rFonts w:ascii="Book Antiqua" w:hAnsi="Book Antiqua"/>
          <w:b w:val="0"/>
          <w:color w:val="111111"/>
        </w:rPr>
        <w:t>εκτεταμένη</w:t>
      </w:r>
      <w:r>
        <w:rPr>
          <w:rFonts w:ascii="Book Antiqua" w:hAnsi="Book Antiqua"/>
          <w:color w:val="111111"/>
        </w:rPr>
        <w:t> </w:t>
      </w:r>
      <w:r>
        <w:rPr>
          <w:rStyle w:val="9"/>
          <w:rFonts w:ascii="Book Antiqua" w:hAnsi="Book Antiqua"/>
          <w:b w:val="0"/>
          <w:color w:val="111111"/>
        </w:rPr>
        <w:t>παρομοίωση</w:t>
      </w:r>
      <w:r>
        <w:rPr>
          <w:rFonts w:ascii="Book Antiqua" w:hAnsi="Book Antiqua"/>
          <w:color w:val="111111"/>
        </w:rPr>
        <w:t>.</w:t>
      </w:r>
    </w:p>
    <w:p w14:paraId="10DFFD22">
      <w:pPr>
        <w:pStyle w:val="8"/>
        <w:shd w:val="clear" w:color="auto" w:fill="FFFFFF"/>
        <w:spacing w:before="0" w:beforeAutospacing="0" w:after="0" w:afterAutospacing="0" w:line="360" w:lineRule="auto"/>
        <w:jc w:val="both"/>
        <w:rPr>
          <w:rFonts w:ascii="Book Antiqua" w:hAnsi="Book Antiqua"/>
          <w:color w:val="111111"/>
        </w:rPr>
      </w:pPr>
      <w:bookmarkStart w:id="0" w:name="_Toc161683228"/>
      <w:bookmarkEnd w:id="0"/>
      <w:r>
        <w:rPr>
          <w:rStyle w:val="9"/>
          <w:rFonts w:ascii="Book Antiqua" w:hAnsi="Book Antiqua"/>
          <w:b w:val="0"/>
          <w:color w:val="111111"/>
          <w:u w:val="single"/>
        </w:rPr>
        <w:t>Ενδεικτικές λέξεις</w:t>
      </w:r>
      <w:r>
        <w:rPr>
          <w:rStyle w:val="9"/>
          <w:rFonts w:ascii="Book Antiqua" w:hAnsi="Book Antiqua"/>
          <w:b w:val="0"/>
          <w:color w:val="111111"/>
        </w:rPr>
        <w:t>:</w:t>
      </w:r>
      <w:r>
        <w:rPr>
          <w:rFonts w:ascii="Book Antiqua" w:hAnsi="Book Antiqua"/>
          <w:color w:val="111111"/>
        </w:rPr>
        <w:t> ανάλογα, αναλόγως, παρόμοια, τόσο… όσο, όπως, σαν, έτσι.</w:t>
      </w:r>
    </w:p>
    <w:p w14:paraId="208E7C58">
      <w:pPr>
        <w:pStyle w:val="8"/>
        <w:shd w:val="clear" w:color="auto" w:fill="FFFFFF"/>
        <w:spacing w:before="0" w:beforeAutospacing="0" w:after="0" w:afterAutospacing="0" w:line="360" w:lineRule="auto"/>
        <w:jc w:val="both"/>
        <w:rPr>
          <w:rFonts w:ascii="Book Antiqua" w:hAnsi="Book Antiqua"/>
          <w:b/>
          <w:bCs/>
          <w:color w:val="000000"/>
          <w:shd w:val="clear" w:color="auto" w:fill="EEEEEE"/>
        </w:rPr>
      </w:pPr>
      <w:r>
        <w:rPr>
          <w:rFonts w:ascii="Book Antiqua" w:hAnsi="Book Antiqua"/>
          <w:b/>
          <w:bCs/>
          <w:color w:val="000000"/>
          <w:shd w:val="clear" w:color="auto" w:fill="EEEEEE"/>
        </w:rPr>
        <w:t>Πώς ο τρόπος ανάπτυξης της αναλογίας υπηρετεί την πρόθεση του γράφοντος</w:t>
      </w:r>
    </w:p>
    <w:p w14:paraId="05127171">
      <w:pPr>
        <w:pStyle w:val="8"/>
        <w:shd w:val="clear" w:color="auto" w:fill="FFFFFF"/>
        <w:spacing w:before="0" w:beforeAutospacing="0" w:after="0" w:afterAutospacing="0" w:line="360" w:lineRule="auto"/>
        <w:jc w:val="both"/>
        <w:rPr>
          <w:rFonts w:ascii="Book Antiqua" w:hAnsi="Book Antiqua"/>
          <w:color w:val="111111"/>
        </w:rPr>
      </w:pPr>
      <w:r>
        <w:rPr>
          <w:rFonts w:ascii="Book Antiqua" w:hAnsi="Book Antiqua"/>
          <w:color w:val="111111"/>
        </w:rPr>
        <w:t xml:space="preserve">Ο γράφων αξιοποιεί την αναλογία </w:t>
      </w:r>
      <w:r>
        <w:rPr>
          <w:rFonts w:ascii="Book Antiqua" w:hAnsi="Book Antiqua"/>
          <w:color w:val="111111"/>
          <w:u w:val="single"/>
        </w:rPr>
        <w:t>όταν επιδιώκει να παρουσιάσει με απλό και παραστατικό τρόπο/να διασαφηνίσει</w:t>
      </w:r>
      <w:r>
        <w:rPr>
          <w:rFonts w:ascii="Book Antiqua" w:hAnsi="Book Antiqua"/>
          <w:color w:val="111111"/>
        </w:rPr>
        <w:t xml:space="preserve"> μια έννοια το περιεχόμενο της οποίας είτε δεν είναι ιδιαίτερα γνωστό είτε είναι σχετικά απαιτητικό στην κατανόηση. Παραλληλίζει, έτσι, τη λιγότερο γνωστή (ή δύσληπτη) έννοια με μια περισσότερο γνωστή και οικεία, αναδεικνύοντας τις μεταξύ τους ομοιότητες και αποσαφηνίζοντας με αυτό τον τρόπο τις πιο απαιτητικές -ή λιγότερο γνωστές- πτυχές της έννοιας που θέλει να επεξηγήσει και να παρουσιάσει. Με δεδομένο το γεγονός πως συχνά η αναλογία έχει μεταφορικό χαρακτήρα, καθώς οι έννοιες που παραλληλίζονται μεταξύ τους δεν έχουν κάποια πραγματική σχέση μεταξύ τους, </w:t>
      </w:r>
      <w:r>
        <w:rPr>
          <w:rFonts w:ascii="Book Antiqua" w:hAnsi="Book Antiqua"/>
          <w:color w:val="111111"/>
          <w:u w:val="single"/>
        </w:rPr>
        <w:t xml:space="preserve">ο λόγος αποκτά στοιχεία ποιητικότητας, </w:t>
      </w:r>
      <w:r>
        <w:rPr>
          <w:rFonts w:ascii="Book Antiqua" w:hAnsi="Book Antiqua"/>
          <w:color w:val="111111"/>
        </w:rPr>
        <w:t xml:space="preserve"> το κείμενο αποκτά ζωντάνια, αμεσότητα και </w:t>
      </w:r>
      <w:r>
        <w:rPr>
          <w:rFonts w:ascii="Book Antiqua" w:hAnsi="Book Antiqua"/>
          <w:color w:val="111111"/>
          <w:u w:val="single"/>
        </w:rPr>
        <w:t>παραστατικότητα</w:t>
      </w:r>
      <w:r>
        <w:rPr>
          <w:rFonts w:ascii="Book Antiqua" w:hAnsi="Book Antiqua"/>
          <w:color w:val="111111"/>
        </w:rPr>
        <w:t xml:space="preserve"> και γίνεται πιο </w:t>
      </w:r>
      <w:r>
        <w:rPr>
          <w:rFonts w:ascii="Book Antiqua" w:hAnsi="Book Antiqua"/>
          <w:color w:val="111111"/>
          <w:u w:val="single"/>
        </w:rPr>
        <w:t>ενδιαφέρο</w:t>
      </w:r>
      <w:r>
        <w:rPr>
          <w:rFonts w:ascii="Book Antiqua" w:hAnsi="Book Antiqua"/>
          <w:color w:val="111111"/>
        </w:rPr>
        <w:t>ν για τον αναγνώστη.</w:t>
      </w:r>
    </w:p>
    <w:p w14:paraId="7A373A80">
      <w:pPr>
        <w:pStyle w:val="8"/>
        <w:shd w:val="clear" w:color="auto" w:fill="FFFFFF"/>
        <w:spacing w:before="0" w:beforeAutospacing="0" w:after="0" w:afterAutospacing="0" w:line="360" w:lineRule="auto"/>
        <w:jc w:val="both"/>
        <w:rPr>
          <w:rFonts w:ascii="Book Antiqua" w:hAnsi="Book Antiqua"/>
          <w:b/>
          <w:color w:val="111111"/>
        </w:rPr>
      </w:pPr>
      <w:r>
        <w:rPr>
          <w:rFonts w:ascii="Book Antiqua" w:hAnsi="Book Antiqua"/>
          <w:b/>
          <w:color w:val="111111"/>
        </w:rPr>
        <w:t>Εντοπισμός των μερών της αναλογίας</w:t>
      </w:r>
    </w:p>
    <w:p w14:paraId="60B22014">
      <w:pPr>
        <w:pStyle w:val="8"/>
        <w:shd w:val="clear" w:color="auto" w:fill="FFFFFF"/>
        <w:spacing w:before="0" w:beforeAutospacing="0" w:after="0" w:afterAutospacing="0" w:line="360" w:lineRule="auto"/>
        <w:jc w:val="both"/>
        <w:rPr>
          <w:rFonts w:ascii="Book Antiqua" w:hAnsi="Book Antiqua"/>
          <w:color w:val="111111"/>
        </w:rPr>
      </w:pPr>
      <w:r>
        <w:rPr>
          <w:rFonts w:ascii="Book Antiqua" w:hAnsi="Book Antiqua"/>
          <w:color w:val="111111"/>
        </w:rPr>
        <w:t>Συχνά ζητείται από τους μαθητές η αναφορά των δύο μερών της αναλογίας, όπου πρέπει να αναφέρουν τις δύο συγκρινόμενες έννοιες και τις ομοιότητές τους και ο στόχος του συγγραφέα μέσα από τη χρήση της αναλογίας.</w:t>
      </w:r>
    </w:p>
    <w:p w14:paraId="68AFA044">
      <w:pPr>
        <w:pStyle w:val="8"/>
        <w:shd w:val="clear" w:color="auto" w:fill="FFFFFF"/>
        <w:spacing w:before="0" w:beforeAutospacing="0" w:after="0" w:afterAutospacing="0" w:line="360" w:lineRule="auto"/>
        <w:jc w:val="both"/>
        <w:rPr>
          <w:rFonts w:ascii="Book Antiqua" w:hAnsi="Book Antiqua"/>
          <w:color w:val="111111"/>
        </w:rPr>
      </w:pPr>
    </w:p>
    <w:p w14:paraId="0383F951">
      <w:pPr>
        <w:pStyle w:val="8"/>
        <w:numPr>
          <w:ilvl w:val="0"/>
          <w:numId w:val="2"/>
        </w:numPr>
        <w:shd w:val="clear" w:color="auto" w:fill="FFFFFF"/>
        <w:spacing w:before="0" w:beforeAutospacing="0" w:after="0" w:afterAutospacing="0" w:line="360" w:lineRule="auto"/>
        <w:jc w:val="center"/>
        <w:rPr>
          <w:rFonts w:ascii="Book Antiqua" w:hAnsi="Book Antiqua"/>
          <w:b/>
          <w:color w:val="111111"/>
          <w:lang w:val="en-US"/>
        </w:rPr>
      </w:pPr>
      <w:r>
        <w:rPr>
          <w:rFonts w:ascii="Book Antiqua" w:hAnsi="Book Antiqua"/>
          <w:b/>
          <w:color w:val="111111"/>
        </w:rPr>
        <w:t>Συνδυασμός μεθόδων</w:t>
      </w:r>
    </w:p>
    <w:p w14:paraId="1FDB1D31">
      <w:pPr>
        <w:pStyle w:val="8"/>
        <w:shd w:val="clear" w:color="auto" w:fill="FFFFFF"/>
        <w:spacing w:before="0" w:beforeAutospacing="0" w:after="0" w:afterAutospacing="0" w:line="360" w:lineRule="auto"/>
        <w:jc w:val="both"/>
        <w:rPr>
          <w:rFonts w:ascii="Book Antiqua" w:hAnsi="Book Antiqua"/>
          <w:color w:val="111111"/>
        </w:rPr>
      </w:pPr>
      <w:r>
        <w:rPr>
          <w:rFonts w:ascii="Book Antiqua" w:hAnsi="Book Antiqua"/>
          <w:color w:val="111111"/>
        </w:rPr>
        <w:t>Στην περίπτωση αυτή αξιοποιούνται περισσότερες από μία μέθοδοι ανάπτυξης στην παράγραφο, επειδή πρέπει να αποδοθούν πολλά, διαφορετικά αλλά σχετιζόμενα μεταξύ τους νοήματα. Για παράδειγμα, ενδέχεται ο κειμενογράφος αφού ορίσει μία έννοια να παραθέσει παραδείγματα που επεξηγούν τον ορισμό ή να παρουσιάσει τις μορφές της έννοιας (διαίρεση) ή τα αποτελέσματά της (αίτιο-αποτέλεσμα). Στο συνδυασμό μεθόδων συνήθως μία από αυτές είναι η βασική, πραγματώνει δηλαδή τη βασική πρόθεση του συντάκτη, ενώ οι υπόλοιπες είναι συμπληρωματικές. Ο μαθητής καλείται να διακρίνει αυτή τη σχέση και τη λειτουργία της κάθε μεθόδου στην παράγραφο.</w:t>
      </w:r>
    </w:p>
    <w:sectPr>
      <w:pgSz w:w="11906" w:h="16838"/>
      <w:pgMar w:top="720" w:right="720" w:bottom="720"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A1"/>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Book Antiqua">
    <w:panose1 w:val="02040602050305030304"/>
    <w:charset w:val="A1"/>
    <w:family w:val="roman"/>
    <w:pitch w:val="default"/>
    <w:sig w:usb0="00000287" w:usb1="00000000" w:usb2="00000000" w:usb3="00000000" w:csb0="2000009F" w:csb1="DFD7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8556A7"/>
    <w:multiLevelType w:val="multilevel"/>
    <w:tmpl w:val="278556A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678D55FF"/>
    <w:multiLevelType w:val="multilevel"/>
    <w:tmpl w:val="678D55F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2">
    <w:nsid w:val="73DD43F6"/>
    <w:multiLevelType w:val="multilevel"/>
    <w:tmpl w:val="73DD43F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122382"/>
    <w:rsid w:val="00053EBD"/>
    <w:rsid w:val="00055805"/>
    <w:rsid w:val="0006641B"/>
    <w:rsid w:val="000829C4"/>
    <w:rsid w:val="000909D5"/>
    <w:rsid w:val="00095DFD"/>
    <w:rsid w:val="000B2146"/>
    <w:rsid w:val="000C2A49"/>
    <w:rsid w:val="000D401F"/>
    <w:rsid w:val="00122382"/>
    <w:rsid w:val="00126084"/>
    <w:rsid w:val="00141D7B"/>
    <w:rsid w:val="00241AD7"/>
    <w:rsid w:val="0027450C"/>
    <w:rsid w:val="002857B6"/>
    <w:rsid w:val="002B5C2A"/>
    <w:rsid w:val="002F546F"/>
    <w:rsid w:val="003165FA"/>
    <w:rsid w:val="003261C1"/>
    <w:rsid w:val="003677C7"/>
    <w:rsid w:val="003A3193"/>
    <w:rsid w:val="0041463C"/>
    <w:rsid w:val="00440990"/>
    <w:rsid w:val="00462FC9"/>
    <w:rsid w:val="00500744"/>
    <w:rsid w:val="00506015"/>
    <w:rsid w:val="005068B1"/>
    <w:rsid w:val="0058373C"/>
    <w:rsid w:val="005F1E46"/>
    <w:rsid w:val="00634BCD"/>
    <w:rsid w:val="00640B43"/>
    <w:rsid w:val="00717213"/>
    <w:rsid w:val="007471A7"/>
    <w:rsid w:val="0076767C"/>
    <w:rsid w:val="00775E8C"/>
    <w:rsid w:val="007C6A8B"/>
    <w:rsid w:val="007E4015"/>
    <w:rsid w:val="007F546B"/>
    <w:rsid w:val="00801ADF"/>
    <w:rsid w:val="008300E6"/>
    <w:rsid w:val="008D6866"/>
    <w:rsid w:val="00914BD8"/>
    <w:rsid w:val="00940C03"/>
    <w:rsid w:val="00983234"/>
    <w:rsid w:val="00994C38"/>
    <w:rsid w:val="009D36B1"/>
    <w:rsid w:val="00A46DA1"/>
    <w:rsid w:val="00A50059"/>
    <w:rsid w:val="00A5200A"/>
    <w:rsid w:val="00AC404D"/>
    <w:rsid w:val="00B21DCE"/>
    <w:rsid w:val="00B2252C"/>
    <w:rsid w:val="00B907DB"/>
    <w:rsid w:val="00B9455B"/>
    <w:rsid w:val="00BC3649"/>
    <w:rsid w:val="00BD6C93"/>
    <w:rsid w:val="00C031ED"/>
    <w:rsid w:val="00C06627"/>
    <w:rsid w:val="00C26345"/>
    <w:rsid w:val="00C34985"/>
    <w:rsid w:val="00C4197C"/>
    <w:rsid w:val="00C62E16"/>
    <w:rsid w:val="00CC3262"/>
    <w:rsid w:val="00D258B9"/>
    <w:rsid w:val="00E926B6"/>
    <w:rsid w:val="00EF1DFB"/>
    <w:rsid w:val="00F66404"/>
    <w:rsid w:val="00FC2B0A"/>
    <w:rsid w:val="38C1312E"/>
    <w:rsid w:val="59F27B21"/>
    <w:rsid w:val="5BE019E6"/>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l-GR" w:eastAsia="en-US" w:bidi="ar-SA"/>
    </w:rPr>
  </w:style>
  <w:style w:type="paragraph" w:styleId="2">
    <w:name w:val="heading 2"/>
    <w:basedOn w:val="1"/>
    <w:link w:val="12"/>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eastAsia="el-GR"/>
    </w:rPr>
  </w:style>
  <w:style w:type="paragraph" w:styleId="3">
    <w:name w:val="heading 4"/>
    <w:basedOn w:val="1"/>
    <w:link w:val="13"/>
    <w:qFormat/>
    <w:uiPriority w:val="9"/>
    <w:pPr>
      <w:spacing w:before="100" w:beforeAutospacing="1" w:after="100" w:afterAutospacing="1" w:line="240" w:lineRule="auto"/>
      <w:outlineLvl w:val="3"/>
    </w:pPr>
    <w:rPr>
      <w:rFonts w:ascii="Times New Roman" w:hAnsi="Times New Roman" w:eastAsia="Times New Roman" w:cs="Times New Roman"/>
      <w:b/>
      <w:bCs/>
      <w:sz w:val="24"/>
      <w:szCs w:val="24"/>
      <w:lang w:eastAsia="el-GR"/>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7"/>
    <w:semiHidden/>
    <w:unhideWhenUsed/>
    <w:qFormat/>
    <w:uiPriority w:val="99"/>
    <w:pPr>
      <w:spacing w:after="0" w:line="240" w:lineRule="auto"/>
    </w:pPr>
    <w:rPr>
      <w:rFonts w:ascii="Tahoma" w:hAnsi="Tahoma" w:cs="Tahoma"/>
      <w:sz w:val="16"/>
      <w:szCs w:val="16"/>
    </w:rPr>
  </w:style>
  <w:style w:type="character" w:styleId="7">
    <w:name w:val="Hyperlink"/>
    <w:basedOn w:val="4"/>
    <w:semiHidden/>
    <w:unhideWhenUsed/>
    <w:uiPriority w:val="99"/>
    <w:rPr>
      <w:color w:val="0000FF"/>
      <w:u w:val="single"/>
    </w:rPr>
  </w:style>
  <w:style w:type="paragraph" w:styleId="8">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el-GR"/>
    </w:rPr>
  </w:style>
  <w:style w:type="character" w:styleId="9">
    <w:name w:val="Strong"/>
    <w:basedOn w:val="4"/>
    <w:qFormat/>
    <w:uiPriority w:val="22"/>
    <w:rPr>
      <w:b/>
      <w:bCs/>
    </w:rPr>
  </w:style>
  <w:style w:type="character" w:customStyle="1" w:styleId="10">
    <w:name w:val="s2"/>
    <w:basedOn w:val="4"/>
    <w:qFormat/>
    <w:uiPriority w:val="0"/>
  </w:style>
  <w:style w:type="paragraph" w:styleId="11">
    <w:name w:val="List Paragraph"/>
    <w:basedOn w:val="1"/>
    <w:qFormat/>
    <w:uiPriority w:val="34"/>
    <w:pPr>
      <w:ind w:left="720"/>
      <w:contextualSpacing/>
    </w:pPr>
  </w:style>
  <w:style w:type="character" w:customStyle="1" w:styleId="12">
    <w:name w:val="Επικεφαλίδα 2 Char"/>
    <w:basedOn w:val="4"/>
    <w:link w:val="2"/>
    <w:qFormat/>
    <w:uiPriority w:val="9"/>
    <w:rPr>
      <w:rFonts w:ascii="Times New Roman" w:hAnsi="Times New Roman" w:eastAsia="Times New Roman" w:cs="Times New Roman"/>
      <w:b/>
      <w:bCs/>
      <w:sz w:val="36"/>
      <w:szCs w:val="36"/>
      <w:lang w:eastAsia="el-GR"/>
    </w:rPr>
  </w:style>
  <w:style w:type="character" w:customStyle="1" w:styleId="13">
    <w:name w:val="Επικεφαλίδα 4 Char"/>
    <w:basedOn w:val="4"/>
    <w:link w:val="3"/>
    <w:qFormat/>
    <w:uiPriority w:val="9"/>
    <w:rPr>
      <w:rFonts w:ascii="Times New Roman" w:hAnsi="Times New Roman" w:eastAsia="Times New Roman" w:cs="Times New Roman"/>
      <w:b/>
      <w:bCs/>
      <w:sz w:val="24"/>
      <w:szCs w:val="24"/>
      <w:lang w:eastAsia="el-GR"/>
    </w:rPr>
  </w:style>
  <w:style w:type="character" w:customStyle="1" w:styleId="14">
    <w:name w:val="blog_post_day"/>
    <w:basedOn w:val="4"/>
    <w:uiPriority w:val="0"/>
  </w:style>
  <w:style w:type="character" w:customStyle="1" w:styleId="15">
    <w:name w:val="blog_post_month"/>
    <w:basedOn w:val="4"/>
    <w:uiPriority w:val="0"/>
  </w:style>
  <w:style w:type="character" w:customStyle="1" w:styleId="16">
    <w:name w:val="blog_share_sign"/>
    <w:basedOn w:val="4"/>
    <w:qFormat/>
    <w:uiPriority w:val="0"/>
  </w:style>
  <w:style w:type="character" w:customStyle="1" w:styleId="17">
    <w:name w:val="Κείμενο πλαισίου Char"/>
    <w:basedOn w:val="4"/>
    <w:link w:val="6"/>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EC9A6B-D47A-4E44-ACF3-E7C175CCFDE1}">
  <ds:schemaRefs/>
</ds:datastoreItem>
</file>

<file path=docProps/app.xml><?xml version="1.0" encoding="utf-8"?>
<Properties xmlns="http://schemas.openxmlformats.org/officeDocument/2006/extended-properties" xmlns:vt="http://schemas.openxmlformats.org/officeDocument/2006/docPropsVTypes">
  <Template>Normal</Template>
  <Pages>5</Pages>
  <Words>1252</Words>
  <Characters>7656</Characters>
  <Lines>62</Lines>
  <Paragraphs>17</Paragraphs>
  <TotalTime>85</TotalTime>
  <ScaleCrop>false</ScaleCrop>
  <LinksUpToDate>false</LinksUpToDate>
  <CharactersWithSpaces>8861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2024-08-09T05:48:00Z</dcterms:created>
  <dc:creator>user</dc:creator>
  <cp:lastModifiedBy>Βαρούχα Μαρία</cp:lastModifiedBy>
  <cp:lastPrinted>2020-09-26T16:10:00Z</cp:lastPrinted>
  <dcterms:modified xsi:type="dcterms:W3CDTF">2026-09-17T12:54:44Z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eyJoZGlkIjoiZTRhMGEwODI1ZDAwYjE1ZTBlMjczOWIxYmUwOTgzZTkiLCJ1c2VySWQiOiI2NjE0OTE2MTc2NDU0In0=</vt:lpwstr>
  </property>
  <property fmtid="{D5CDD505-2E9C-101B-9397-08002B2CF9AE}" pid="3" name="KSOProductBuildVer">
    <vt:lpwstr>1033-12.1.0.28485</vt:lpwstr>
  </property>
  <property fmtid="{D5CDD505-2E9C-101B-9397-08002B2CF9AE}" pid="4" name="ICV">
    <vt:lpwstr>651482DD83084DCAAF37C34794535E83_12</vt:lpwstr>
  </property>
</Properties>
</file>